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5F" w:rsidRPr="00F4335F" w:rsidRDefault="00F4335F" w:rsidP="00F4335F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宋体" w:eastAsia="宋体" w:hAnsi="宋体" w:cs="宋体"/>
          <w:kern w:val="0"/>
          <w:sz w:val="36"/>
          <w:szCs w:val="36"/>
        </w:rPr>
      </w:pPr>
      <w:r w:rsidRPr="00F4335F">
        <w:rPr>
          <w:rFonts w:ascii="宋体" w:eastAsia="宋体" w:hAnsi="宋体" w:cs="宋体"/>
          <w:kern w:val="0"/>
          <w:sz w:val="36"/>
          <w:szCs w:val="36"/>
        </w:rPr>
        <w:t>营改增 | 对工程计价的5大影响</w:t>
      </w:r>
    </w:p>
    <w:p w:rsidR="00F4335F" w:rsidRPr="00F4335F" w:rsidRDefault="00F4335F" w:rsidP="00F4335F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F4335F" w:rsidRPr="00F4335F" w:rsidRDefault="00F4335F" w:rsidP="00F4335F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资料来源：《工程造价管理》杂志</w:t>
      </w: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-</w:t>
      </w: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《</w:t>
      </w: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“</w:t>
      </w: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营改增</w:t>
      </w: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”</w:t>
      </w:r>
      <w:r w:rsidRPr="00F4335F">
        <w:rPr>
          <w:rFonts w:ascii="Helvetica" w:eastAsia="宋体" w:hAnsi="Helvetica" w:cs="Helvetica"/>
          <w:color w:val="3E3E3E"/>
          <w:kern w:val="0"/>
          <w:sz w:val="24"/>
          <w:szCs w:val="24"/>
        </w:rPr>
        <w:t>对工程计价及相关行业的影响与分析》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1.应纳税额过高或为负值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应纳税额接近于或等于零，对投资人来说最好。其含义是该项投资没有增值，企业不用缴纳增值税。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当应纳税额为正值且大于</w:t>
      </w: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3%</w:t>
      </w: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时，说明前端进项税小于后端销项税，且差额大于简易计税下的应纳税额，企业可考虑使用简易计税程序，以减少纳税。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应纳税额出现负值时，说明前端进项税大于了后端的销项税，也就是超过了可抵扣的最高额度。在没有特殊约定的情况下，施工企业就要支付这多出来的税金了，所以施工企业在签订合同时就应明确约定好如何处理该问题。可采用简易计税或部分材料甲供的方法来减少进项税。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2.购买材料（进项环节）按简易征收（</w:t>
      </w:r>
      <w:r w:rsidRPr="00F4335F">
        <w:rPr>
          <w:rFonts w:ascii="宋体" w:eastAsia="宋体" w:hAnsi="宋体" w:cs="宋体"/>
          <w:b/>
          <w:bCs/>
          <w:color w:val="FF2941"/>
          <w:kern w:val="0"/>
          <w:sz w:val="24"/>
          <w:szCs w:val="24"/>
        </w:rPr>
        <w:t>3%</w:t>
      </w: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）的影响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在购买材料、设备或租赁机械时，若卖方采用简易征收（</w:t>
      </w: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3%</w:t>
      </w: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开票，意味着卖方在上一环节的全部进项税额都不能抵扣，那么这些税额就会进入材料成本（形成价内税），导致其销售价格的增高。销售价格的增高（在其他因素不变的情况下）会导致建筑业的销项税计税基数提高，从而导致销项税额的提高，进而导致工程造价的提高。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由于可抵扣税额减少、销项税额又增加，就会使得应纳税额有较大的提高。对投资人是不利的。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当合同签订后，施工企业购买简易计税的材料，相当于材料价格提高了，对施工企业是不利的。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3.建筑业（销项环节）按简易计税（</w:t>
      </w:r>
      <w:r w:rsidRPr="00F4335F">
        <w:rPr>
          <w:rFonts w:ascii="宋体" w:eastAsia="宋体" w:hAnsi="宋体" w:cs="宋体"/>
          <w:b/>
          <w:bCs/>
          <w:color w:val="FF2941"/>
          <w:kern w:val="0"/>
          <w:sz w:val="24"/>
          <w:szCs w:val="24"/>
        </w:rPr>
        <w:t>3%</w:t>
      </w: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）的影响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筑业的销项环节，在符合规定的条件下也可选择简易计税方式。在一般情况下，才去简易计税模式，工程中所购买的材料的税款就不能抵扣，只能进入工程成本，工程销项税的计税基数就会提高，销项税额也就会提高，对投资人是不利的，应尽量避免此种方式。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Cs w:val="21"/>
        </w:rPr>
        <w:t>但在某些特殊情况下，如出现应纳税额过高或为负值时，通过简易征收方式，亦可减少投资，故应适时选用不同的计税方式。</w:t>
      </w:r>
      <w:r w:rsidRPr="00F4335F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br/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3E3E3E"/>
          <w:kern w:val="0"/>
          <w:sz w:val="24"/>
          <w:szCs w:val="24"/>
        </w:rPr>
        <w:br/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lastRenderedPageBreak/>
        <w:t>4.对总承包工程与专业分包工程的影响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一个一般的工程进行专业分包，因材料费（可除税项目）的不均衡划分，可能会导致某一分包项目的进项税额的大幅不均衡变化（出现抵扣过少或抵扣过高的情况），很可能造成某一分包方的应纳税额过高或为负值的情况，最终导致总纳税额的提高。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F4335F" w:rsidRPr="00F4335F" w:rsidRDefault="00F4335F" w:rsidP="00F4335F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5.甲供材对纳税额的影响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从纳税的角度看，甲供材就是把应在建筑业中计价、扣税的项目，直接拿到下一环节（如房地产业）中去计价、扣税了。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甲供材几乎都是含有进项税的材料，而且基本上都是进项税率为</w:t>
      </w: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17%</w:t>
      </w: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的材料。因建筑业和房地产业的销项税都是</w:t>
      </w: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11%</w:t>
      </w: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，所以应纳税额</w:t>
      </w: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C</w:t>
      </w: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与甲供材价格</w:t>
      </w:r>
      <w:r w:rsidRPr="00F4335F">
        <w:rPr>
          <w:rFonts w:ascii="宋体" w:eastAsia="宋体" w:hAnsi="宋体" w:cs="宋体"/>
          <w:color w:val="000000"/>
          <w:kern w:val="0"/>
          <w:sz w:val="24"/>
          <w:szCs w:val="24"/>
        </w:rPr>
        <w:t>P</w:t>
      </w: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的关系为：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/>
          <w:b/>
          <w:bCs/>
          <w:color w:val="FF2941"/>
          <w:kern w:val="0"/>
          <w:sz w:val="24"/>
          <w:szCs w:val="24"/>
        </w:rPr>
        <w:t>C=</w:t>
      </w: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（</w:t>
      </w:r>
      <w:r w:rsidRPr="00F4335F">
        <w:rPr>
          <w:rFonts w:ascii="宋体" w:eastAsia="宋体" w:hAnsi="宋体" w:cs="宋体"/>
          <w:b/>
          <w:bCs/>
          <w:color w:val="FF2941"/>
          <w:kern w:val="0"/>
          <w:sz w:val="24"/>
          <w:szCs w:val="24"/>
        </w:rPr>
        <w:t>11%-17%</w:t>
      </w:r>
      <w:r w:rsidRPr="00F4335F">
        <w:rPr>
          <w:rFonts w:ascii="宋体" w:eastAsia="宋体" w:hAnsi="宋体" w:cs="宋体" w:hint="eastAsia"/>
          <w:b/>
          <w:bCs/>
          <w:color w:val="FF2941"/>
          <w:kern w:val="0"/>
          <w:sz w:val="24"/>
          <w:szCs w:val="24"/>
        </w:rPr>
        <w:t>）</w:t>
      </w:r>
      <w:r w:rsidRPr="00F4335F">
        <w:rPr>
          <w:rFonts w:ascii="宋体" w:eastAsia="宋体" w:hAnsi="宋体" w:cs="宋体"/>
          <w:b/>
          <w:bCs/>
          <w:color w:val="FF2941"/>
          <w:kern w:val="0"/>
          <w:sz w:val="24"/>
          <w:szCs w:val="24"/>
        </w:rPr>
        <w:t>*P=-6%*P</w:t>
      </w:r>
    </w:p>
    <w:p w:rsidR="00F4335F" w:rsidRPr="00F4335F" w:rsidRDefault="00F4335F" w:rsidP="00F4335F">
      <w:pPr>
        <w:widowControl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F433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显然，这是一项具有负税额的资产，放到哪里去抵扣都是好事，哪一环节出现的应纳税额高就放到哪里去抵扣。</w:t>
      </w:r>
    </w:p>
    <w:p w:rsidR="00B32736" w:rsidRDefault="00B32736"/>
    <w:sectPr w:rsidR="00B3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736" w:rsidRDefault="00B32736" w:rsidP="00F4335F">
      <w:r>
        <w:separator/>
      </w:r>
    </w:p>
  </w:endnote>
  <w:endnote w:type="continuationSeparator" w:id="1">
    <w:p w:rsidR="00B32736" w:rsidRDefault="00B32736" w:rsidP="00F4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736" w:rsidRDefault="00B32736" w:rsidP="00F4335F">
      <w:r>
        <w:separator/>
      </w:r>
    </w:p>
  </w:footnote>
  <w:footnote w:type="continuationSeparator" w:id="1">
    <w:p w:rsidR="00B32736" w:rsidRDefault="00B32736" w:rsidP="00F43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35F"/>
    <w:rsid w:val="00B32736"/>
    <w:rsid w:val="00F4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33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35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335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F4335F"/>
    <w:rPr>
      <w:i/>
      <w:iCs/>
    </w:rPr>
  </w:style>
  <w:style w:type="character" w:customStyle="1" w:styleId="apple-converted-space">
    <w:name w:val="apple-converted-space"/>
    <w:basedOn w:val="a0"/>
    <w:rsid w:val="00F4335F"/>
  </w:style>
  <w:style w:type="character" w:styleId="a6">
    <w:name w:val="Hyperlink"/>
    <w:basedOn w:val="a0"/>
    <w:uiPriority w:val="99"/>
    <w:semiHidden/>
    <w:unhideWhenUsed/>
    <w:rsid w:val="00F4335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433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4335F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F4335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433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70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2017-04-05T06:25:00Z</dcterms:created>
  <dcterms:modified xsi:type="dcterms:W3CDTF">2017-04-05T06:25:00Z</dcterms:modified>
</cp:coreProperties>
</file>