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6E" w:rsidRPr="0010096E" w:rsidRDefault="0010096E" w:rsidP="0010096E">
      <w:pPr>
        <w:widowControl/>
        <w:pBdr>
          <w:bottom w:val="single" w:sz="6" w:space="8" w:color="E7E7EB"/>
        </w:pBdr>
        <w:spacing w:after="210"/>
        <w:jc w:val="left"/>
        <w:outlineLvl w:val="1"/>
        <w:rPr>
          <w:rFonts w:ascii="Helvetica" w:eastAsia="宋体" w:hAnsi="Helvetica" w:cs="Helvetica"/>
          <w:color w:val="000000"/>
          <w:kern w:val="0"/>
          <w:sz w:val="36"/>
          <w:szCs w:val="36"/>
        </w:rPr>
      </w:pPr>
      <w:r w:rsidRPr="0010096E">
        <w:rPr>
          <w:rFonts w:ascii="Helvetica" w:eastAsia="宋体" w:hAnsi="Helvetica" w:cs="Helvetica"/>
          <w:color w:val="000000"/>
          <w:kern w:val="0"/>
          <w:sz w:val="36"/>
          <w:szCs w:val="36"/>
        </w:rPr>
        <w:t>钢结构油漆用量计算</w:t>
      </w:r>
    </w:p>
    <w:p w:rsidR="0010096E" w:rsidRPr="0010096E" w:rsidRDefault="0010096E" w:rsidP="0010096E">
      <w:pPr>
        <w:widowControl/>
        <w:spacing w:line="384" w:lineRule="atLeast"/>
        <w:jc w:val="left"/>
        <w:rPr>
          <w:rFonts w:ascii="Helvetica" w:eastAsia="宋体" w:hAnsi="Helvetica" w:cs="Helvetica"/>
          <w:color w:val="3E3E3E"/>
          <w:kern w:val="0"/>
          <w:sz w:val="24"/>
          <w:szCs w:val="24"/>
        </w:rPr>
      </w:pP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主次钢结构都是根据防腐的要求来打砂油漆的，油漆的用量很大程度和干膜厚度有关的，与施工方法和涂装系统也有关系（喷涂要比手工刷的损耗率），以下数据是理论涂布率（仅供参考），实际用量乘上1.5-1.8的系数：</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75微米厚度的，大约8.5平方米/升；</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125微米厚度的，大约6.5平方米/升；</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200微米厚度的，大约4平方米/升。</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一般是使用容积单位来衡量的。</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油漆说明书里有个理论涂布率，就是涂1平方米100um（或者是50um等等自己可以换算）用多少L油漆。比如这个数是X%</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那么油漆用量=x%*25000*油漆厚度/100</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这个结果之后你再乘以一个损耗系数，比如1.3一般这个与施工的设备有关系。</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Helvetica" w:eastAsia="宋体" w:hAnsi="Helvetica" w:cs="Helvetica"/>
          <w:color w:val="3E3E3E"/>
          <w:kern w:val="0"/>
          <w:sz w:val="24"/>
          <w:szCs w:val="24"/>
        </w:rPr>
        <w:t> </w:t>
      </w:r>
    </w:p>
    <w:p w:rsidR="0010096E" w:rsidRPr="0010096E" w:rsidRDefault="0010096E" w:rsidP="0010096E">
      <w:pPr>
        <w:widowControl/>
        <w:shd w:val="clear" w:color="auto" w:fill="FFFFFF"/>
        <w:spacing w:line="427" w:lineRule="atLeast"/>
        <w:ind w:firstLine="360"/>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在钢结构上焊缝的净重量是钢构件的1.5～2％左右。然后根据这个来提焊条，由于是净重量所以焊条重量有些增加，加上留下的焊条头，和药皮的重量，一般需要焊条重量的是1.8～2.2倍。</w:t>
      </w:r>
    </w:p>
    <w:p w:rsidR="0010096E" w:rsidRPr="0010096E" w:rsidRDefault="0010096E" w:rsidP="0010096E">
      <w:pPr>
        <w:widowControl/>
        <w:shd w:val="clear" w:color="auto" w:fill="FFFFFF"/>
        <w:spacing w:line="427" w:lineRule="atLeast"/>
        <w:ind w:firstLine="360"/>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 </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Arial" w:hint="eastAsia"/>
          <w:color w:val="3E3E3E"/>
          <w:kern w:val="0"/>
          <w:sz w:val="24"/>
          <w:szCs w:val="24"/>
        </w:rPr>
        <w:t>钢结构工程油漆用量﹑损耗系数估算方法</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油漆的理论涂布率和实际涂布率计算公式</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在完全光滑平整且无毛孔的玻璃表面，倒上一升油漆，形成规定的干膜厚度后所覆盖的面积，就叫该油漆的理论涂布率。</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Arial" w:eastAsia="宋体" w:hAnsi="Arial" w:cs="Arial"/>
          <w:color w:val="3E3E3E"/>
          <w:kern w:val="0"/>
          <w:sz w:val="24"/>
          <w:szCs w:val="24"/>
        </w:rPr>
        <w:t> </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Arial" w:hint="eastAsia"/>
          <w:color w:val="3E3E3E"/>
          <w:kern w:val="0"/>
          <w:sz w:val="24"/>
          <w:szCs w:val="24"/>
        </w:rPr>
        <w:t>理论涂布率</w:t>
      </w:r>
      <w:r w:rsidRPr="0010096E">
        <w:rPr>
          <w:rFonts w:ascii="宋体" w:eastAsia="宋体" w:hAnsi="宋体" w:cs="Helvetica" w:hint="eastAsia"/>
          <w:color w:val="3E3E3E"/>
          <w:kern w:val="0"/>
          <w:sz w:val="24"/>
          <w:szCs w:val="24"/>
        </w:rPr>
        <w:t>=固体体积含量</w:t>
      </w:r>
      <w:r w:rsidRPr="0010096E">
        <w:rPr>
          <w:rFonts w:ascii="Arial" w:eastAsia="宋体" w:hAnsi="Arial" w:cs="Arial"/>
          <w:color w:val="3E3E3E"/>
          <w:kern w:val="0"/>
          <w:sz w:val="24"/>
          <w:szCs w:val="24"/>
        </w:rPr>
        <w:t>*10/</w:t>
      </w:r>
      <w:r w:rsidRPr="0010096E">
        <w:rPr>
          <w:rFonts w:ascii="宋体" w:eastAsia="宋体" w:hAnsi="宋体" w:cs="Helvetica" w:hint="eastAsia"/>
          <w:color w:val="3E3E3E"/>
          <w:kern w:val="0"/>
          <w:sz w:val="24"/>
          <w:szCs w:val="24"/>
        </w:rPr>
        <w:t>干膜厚度（微米）</w:t>
      </w:r>
      <w:r w:rsidRPr="0010096E">
        <w:rPr>
          <w:rFonts w:ascii="Arial" w:eastAsia="宋体" w:hAnsi="Arial" w:cs="Arial"/>
          <w:color w:val="3E3E3E"/>
          <w:kern w:val="0"/>
          <w:sz w:val="24"/>
          <w:szCs w:val="24"/>
        </w:rPr>
        <w:t> </w:t>
      </w:r>
      <w:r w:rsidRPr="0010096E">
        <w:rPr>
          <w:rFonts w:ascii="宋体" w:eastAsia="宋体" w:hAnsi="宋体" w:cs="Arial" w:hint="eastAsia"/>
          <w:color w:val="3E3E3E"/>
          <w:kern w:val="0"/>
          <w:sz w:val="24"/>
          <w:szCs w:val="24"/>
        </w:rPr>
        <w:t>（米</w:t>
      </w:r>
      <w:r w:rsidRPr="0010096E">
        <w:rPr>
          <w:rFonts w:ascii="Arial" w:eastAsia="宋体" w:hAnsi="Arial" w:cs="Arial"/>
          <w:color w:val="3E3E3E"/>
          <w:kern w:val="0"/>
          <w:sz w:val="24"/>
          <w:szCs w:val="24"/>
        </w:rPr>
        <w:t>²/</w:t>
      </w:r>
      <w:r w:rsidRPr="0010096E">
        <w:rPr>
          <w:rFonts w:ascii="宋体" w:eastAsia="宋体" w:hAnsi="宋体" w:cs="Arial" w:hint="eastAsia"/>
          <w:color w:val="3E3E3E"/>
          <w:kern w:val="0"/>
          <w:sz w:val="24"/>
          <w:szCs w:val="24"/>
        </w:rPr>
        <w:t>升）</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Arial" w:eastAsia="宋体" w:hAnsi="Arial" w:cs="Arial"/>
          <w:color w:val="3E3E3E"/>
          <w:kern w:val="0"/>
          <w:sz w:val="24"/>
          <w:szCs w:val="24"/>
        </w:rPr>
        <w:t>     </w:t>
      </w:r>
    </w:p>
    <w:p w:rsidR="0010096E" w:rsidRPr="0010096E" w:rsidRDefault="0010096E" w:rsidP="0010096E">
      <w:pPr>
        <w:widowControl/>
        <w:shd w:val="clear" w:color="auto" w:fill="FFFFFF"/>
        <w:spacing w:line="427" w:lineRule="atLeast"/>
        <w:ind w:firstLine="480"/>
        <w:jc w:val="left"/>
        <w:rPr>
          <w:rFonts w:ascii="Helvetica" w:eastAsia="宋体" w:hAnsi="Helvetica" w:cs="Helvetica"/>
          <w:color w:val="3E3E3E"/>
          <w:kern w:val="0"/>
          <w:sz w:val="24"/>
          <w:szCs w:val="24"/>
        </w:rPr>
      </w:pPr>
      <w:r w:rsidRPr="0010096E">
        <w:rPr>
          <w:rFonts w:ascii="宋体" w:eastAsia="宋体" w:hAnsi="宋体" w:cs="Arial" w:hint="eastAsia"/>
          <w:color w:val="3E3E3E"/>
          <w:kern w:val="0"/>
          <w:sz w:val="24"/>
          <w:szCs w:val="24"/>
        </w:rPr>
        <w:t>实际工程施工时，因施工工件表面形状，要求的漆膜厚度，施工方法，工人技术，施工环境条件，天气等等各种因素的影响，油漆的实际使用量一定大于以施工面积除以理论涂布率计算出来的</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理论使用量</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w:t>
      </w:r>
    </w:p>
    <w:p w:rsidR="0010096E" w:rsidRPr="0010096E" w:rsidRDefault="0010096E" w:rsidP="0010096E">
      <w:pPr>
        <w:widowControl/>
        <w:shd w:val="clear" w:color="auto" w:fill="FFFFFF"/>
        <w:spacing w:line="427" w:lineRule="atLeast"/>
        <w:ind w:firstLine="480"/>
        <w:jc w:val="left"/>
        <w:rPr>
          <w:rFonts w:ascii="Helvetica" w:eastAsia="宋体" w:hAnsi="Helvetica" w:cs="Helvetica"/>
          <w:color w:val="3E3E3E"/>
          <w:kern w:val="0"/>
          <w:sz w:val="24"/>
          <w:szCs w:val="24"/>
        </w:rPr>
      </w:pPr>
      <w:r w:rsidRPr="0010096E">
        <w:rPr>
          <w:rFonts w:ascii="宋体" w:eastAsia="宋体" w:hAnsi="宋体" w:cs="Helvetica" w:hint="eastAsia"/>
          <w:color w:val="3E3E3E"/>
          <w:kern w:val="0"/>
          <w:sz w:val="24"/>
          <w:szCs w:val="24"/>
        </w:rPr>
        <w:t>油漆实际使用量/理论使用量(该比值定义为“损耗系数”</w:t>
      </w:r>
      <w:r w:rsidRPr="0010096E">
        <w:rPr>
          <w:rFonts w:ascii="Arial" w:eastAsia="宋体" w:hAnsi="Arial" w:cs="Arial"/>
          <w:color w:val="3E3E3E"/>
          <w:kern w:val="0"/>
          <w:sz w:val="24"/>
          <w:szCs w:val="24"/>
        </w:rPr>
        <w:t>CF</w:t>
      </w:r>
      <w:r w:rsidRPr="0010096E">
        <w:rPr>
          <w:rFonts w:ascii="宋体" w:eastAsia="宋体" w:hAnsi="宋体" w:cs="Helvetica" w:hint="eastAsia"/>
          <w:color w:val="3E3E3E"/>
          <w:kern w:val="0"/>
          <w:sz w:val="24"/>
          <w:szCs w:val="24"/>
        </w:rPr>
        <w:t>。)</w:t>
      </w:r>
    </w:p>
    <w:p w:rsidR="0010096E" w:rsidRPr="0010096E" w:rsidRDefault="0010096E" w:rsidP="0010096E">
      <w:pPr>
        <w:widowControl/>
        <w:shd w:val="clear" w:color="auto" w:fill="FFFFFF"/>
        <w:spacing w:line="427" w:lineRule="atLeast"/>
        <w:jc w:val="left"/>
        <w:rPr>
          <w:rFonts w:ascii="Helvetica" w:eastAsia="宋体" w:hAnsi="Helvetica" w:cs="Helvetica"/>
          <w:color w:val="3E3E3E"/>
          <w:kern w:val="0"/>
          <w:sz w:val="24"/>
          <w:szCs w:val="24"/>
        </w:rPr>
      </w:pPr>
      <w:r w:rsidRPr="0010096E">
        <w:rPr>
          <w:rFonts w:ascii="宋体" w:eastAsia="宋体" w:hAnsi="宋体" w:cs="Arial" w:hint="eastAsia"/>
          <w:color w:val="3E3E3E"/>
          <w:kern w:val="0"/>
          <w:sz w:val="24"/>
          <w:szCs w:val="24"/>
        </w:rPr>
        <w:t>工程油漆实际用量</w:t>
      </w:r>
      <w:r w:rsidRPr="0010096E">
        <w:rPr>
          <w:rFonts w:ascii="Arial" w:eastAsia="宋体" w:hAnsi="Arial" w:cs="Arial"/>
          <w:color w:val="3E3E3E"/>
          <w:kern w:val="0"/>
          <w:sz w:val="24"/>
          <w:szCs w:val="24"/>
        </w:rPr>
        <w:t> = </w:t>
      </w:r>
      <w:r w:rsidRPr="0010096E">
        <w:rPr>
          <w:rFonts w:ascii="宋体" w:eastAsia="宋体" w:hAnsi="宋体" w:cs="Helvetica" w:hint="eastAsia"/>
          <w:color w:val="3E3E3E"/>
          <w:kern w:val="0"/>
          <w:sz w:val="24"/>
          <w:szCs w:val="24"/>
        </w:rPr>
        <w:t>施工面积/实际涂布率</w:t>
      </w:r>
      <w:r w:rsidRPr="0010096E">
        <w:rPr>
          <w:rFonts w:ascii="Arial" w:eastAsia="宋体" w:hAnsi="Arial" w:cs="Arial"/>
          <w:color w:val="3E3E3E"/>
          <w:kern w:val="0"/>
          <w:sz w:val="24"/>
          <w:szCs w:val="24"/>
        </w:rPr>
        <w:t>=</w:t>
      </w:r>
      <w:r w:rsidRPr="0010096E">
        <w:rPr>
          <w:rFonts w:ascii="宋体" w:eastAsia="宋体" w:hAnsi="宋体" w:cs="Helvetica" w:hint="eastAsia"/>
          <w:color w:val="3E3E3E"/>
          <w:kern w:val="0"/>
          <w:sz w:val="24"/>
          <w:szCs w:val="24"/>
        </w:rPr>
        <w:t>施工面积</w:t>
      </w:r>
      <w:r w:rsidRPr="0010096E">
        <w:rPr>
          <w:rFonts w:ascii="Arial" w:eastAsia="宋体" w:hAnsi="Arial" w:cs="Arial"/>
          <w:color w:val="3E3E3E"/>
          <w:kern w:val="0"/>
          <w:sz w:val="24"/>
          <w:szCs w:val="24"/>
        </w:rPr>
        <w:t>*CF/</w:t>
      </w:r>
      <w:r w:rsidRPr="0010096E">
        <w:rPr>
          <w:rFonts w:ascii="宋体" w:eastAsia="宋体" w:hAnsi="宋体" w:cs="Helvetica" w:hint="eastAsia"/>
          <w:color w:val="3E3E3E"/>
          <w:kern w:val="0"/>
          <w:sz w:val="24"/>
          <w:szCs w:val="24"/>
        </w:rPr>
        <w:t>理论涂布率</w:t>
      </w:r>
      <w:r w:rsidRPr="0010096E">
        <w:rPr>
          <w:rFonts w:ascii="Arial" w:eastAsia="宋体" w:hAnsi="Arial" w:cs="Arial"/>
          <w:color w:val="3E3E3E"/>
          <w:kern w:val="0"/>
          <w:sz w:val="24"/>
          <w:szCs w:val="24"/>
        </w:rPr>
        <w:t>=  </w:t>
      </w:r>
      <w:r w:rsidRPr="0010096E">
        <w:rPr>
          <w:rFonts w:ascii="宋体" w:eastAsia="宋体" w:hAnsi="宋体" w:cs="Arial" w:hint="eastAsia"/>
          <w:color w:val="3E3E3E"/>
          <w:kern w:val="0"/>
          <w:sz w:val="24"/>
          <w:szCs w:val="24"/>
        </w:rPr>
        <w:t>理论使用量</w:t>
      </w:r>
      <w:r w:rsidRPr="0010096E">
        <w:rPr>
          <w:rFonts w:ascii="Arial" w:eastAsia="宋体" w:hAnsi="Arial" w:cs="Arial"/>
          <w:color w:val="3E3E3E"/>
          <w:kern w:val="0"/>
          <w:sz w:val="24"/>
          <w:szCs w:val="24"/>
        </w:rPr>
        <w:t>× CF</w:t>
      </w:r>
      <w:r w:rsidRPr="0010096E">
        <w:rPr>
          <w:rFonts w:ascii="Arial" w:eastAsia="宋体" w:hAnsi="Arial" w:cs="Arial"/>
          <w:color w:val="3E3E3E"/>
          <w:kern w:val="0"/>
          <w:sz w:val="24"/>
          <w:szCs w:val="24"/>
        </w:rPr>
        <w:br/>
      </w:r>
      <w:r w:rsidRPr="0010096E">
        <w:rPr>
          <w:rFonts w:ascii="Arial" w:eastAsia="宋体" w:hAnsi="Arial" w:cs="Arial"/>
          <w:color w:val="3E3E3E"/>
          <w:kern w:val="0"/>
          <w:sz w:val="24"/>
          <w:szCs w:val="24"/>
        </w:rPr>
        <w:lastRenderedPageBreak/>
        <w:t>        </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损耗系数</w:t>
      </w:r>
      <w:r w:rsidRPr="0010096E">
        <w:rPr>
          <w:rFonts w:ascii="Arial" w:eastAsia="宋体" w:hAnsi="Arial" w:cs="Arial"/>
          <w:color w:val="3E3E3E"/>
          <w:kern w:val="0"/>
          <w:sz w:val="24"/>
          <w:szCs w:val="24"/>
        </w:rPr>
        <w:t>”CF</w:t>
      </w:r>
      <w:r w:rsidRPr="0010096E">
        <w:rPr>
          <w:rFonts w:ascii="宋体" w:eastAsia="宋体" w:hAnsi="宋体" w:cs="Arial" w:hint="eastAsia"/>
          <w:color w:val="3E3E3E"/>
          <w:kern w:val="0"/>
          <w:sz w:val="24"/>
          <w:szCs w:val="24"/>
        </w:rPr>
        <w:t>分析及估算</w:t>
      </w:r>
      <w:r w:rsidRPr="0010096E">
        <w:rPr>
          <w:rFonts w:ascii="Arial" w:eastAsia="宋体" w:hAnsi="Arial" w:cs="Arial"/>
          <w:color w:val="3E3E3E"/>
          <w:kern w:val="0"/>
          <w:sz w:val="24"/>
          <w:szCs w:val="24"/>
        </w:rPr>
        <w:t>:</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工件表面粗糙度造成的油漆损耗</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在经过喷射处理的表面涂漆时，钢板波峰处的膜厚要小于波谷处的膜厚，为满足波峰处的防腐厚度要求（避免点蚀），波谷的坑洼中所</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藏</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的油漆就相当于被损耗了，此即</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钢板粗糙度消耗损失</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。下表给出不同的喷射方式引起漆料损失（以干膜厚度表示）：</w:t>
      </w:r>
      <w:r w:rsidRPr="0010096E">
        <w:rPr>
          <w:rFonts w:ascii="Arial" w:eastAsia="宋体" w:hAnsi="Arial" w:cs="Arial"/>
          <w:color w:val="3E3E3E"/>
          <w:kern w:val="0"/>
          <w:sz w:val="24"/>
          <w:szCs w:val="24"/>
        </w:rPr>
        <w:br/>
        <w:t>        </w:t>
      </w:r>
      <w:r w:rsidRPr="0010096E">
        <w:rPr>
          <w:rFonts w:ascii="Arial" w:eastAsia="宋体" w:hAnsi="Arial" w:cs="Arial"/>
          <w:color w:val="3E3E3E"/>
          <w:kern w:val="0"/>
          <w:sz w:val="24"/>
          <w:szCs w:val="24"/>
        </w:rPr>
        <w:br/>
      </w:r>
      <w:r>
        <w:rPr>
          <w:rFonts w:ascii="Arial" w:eastAsia="宋体" w:hAnsi="Arial" w:cs="Arial"/>
          <w:noProof/>
          <w:color w:val="3E3E3E"/>
          <w:kern w:val="0"/>
          <w:sz w:val="24"/>
          <w:szCs w:val="24"/>
        </w:rPr>
        <w:drawing>
          <wp:inline distT="0" distB="0" distL="0" distR="0">
            <wp:extent cx="5274310" cy="2130174"/>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274310" cy="2130174"/>
                    </a:xfrm>
                    <a:prstGeom prst="rect">
                      <a:avLst/>
                    </a:prstGeom>
                    <a:noFill/>
                    <a:ln w="9525">
                      <a:noFill/>
                      <a:miter lim="800000"/>
                      <a:headEnd/>
                      <a:tailEnd/>
                    </a:ln>
                  </pic:spPr>
                </pic:pic>
              </a:graphicData>
            </a:graphic>
          </wp:inline>
        </w:drawing>
      </w:r>
      <w:r w:rsidRPr="0010096E">
        <w:rPr>
          <w:rFonts w:ascii="Arial" w:eastAsia="宋体" w:hAnsi="Arial" w:cs="Arial"/>
          <w:color w:val="3E3E3E"/>
          <w:kern w:val="0"/>
          <w:sz w:val="24"/>
          <w:szCs w:val="24"/>
        </w:rPr>
        <w:t>                </w:t>
      </w:r>
      <w:r w:rsidRPr="0010096E">
        <w:rPr>
          <w:rFonts w:ascii="宋体" w:eastAsia="宋体" w:hAnsi="宋体" w:cs="Arial" w:hint="eastAsia"/>
          <w:color w:val="3E3E3E"/>
          <w:kern w:val="0"/>
          <w:sz w:val="24"/>
          <w:szCs w:val="24"/>
        </w:rPr>
        <w:t>漆膜厚度分布不均匀造成的油漆损耗</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施工后漆膜验收时膜厚达到或超过规定膜后，技术服务代表，监理或业主会按正常合格签字，但对未达到规定膜厚部分将被要求补涂，因此必将造成</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超厚</w:t>
      </w:r>
      <w:r w:rsidRPr="0010096E">
        <w:rPr>
          <w:rFonts w:ascii="Arial" w:eastAsia="宋体" w:hAnsi="Arial" w:cs="Arial"/>
          <w:color w:val="3E3E3E"/>
          <w:kern w:val="0"/>
          <w:sz w:val="24"/>
          <w:szCs w:val="24"/>
        </w:rPr>
        <w:t>”</w:t>
      </w:r>
      <w:r w:rsidRPr="0010096E">
        <w:rPr>
          <w:rFonts w:ascii="宋体" w:eastAsia="宋体" w:hAnsi="宋体" w:cs="Arial" w:hint="eastAsia"/>
          <w:color w:val="3E3E3E"/>
          <w:kern w:val="0"/>
          <w:sz w:val="24"/>
          <w:szCs w:val="24"/>
        </w:rPr>
        <w:t>损耗。导致漆膜厚度分布不均匀的具体因素主要有：工人熟练程度，施工环境，施工工件简单（平面工件）或复杂，施工方法（无空气喷涂，有空气喷涂，刷涂，滚涂）</w:t>
      </w:r>
      <w:r w:rsidRPr="0010096E">
        <w:rPr>
          <w:rFonts w:ascii="宋体" w:eastAsia="宋体" w:hAnsi="宋体" w:cs="Helvetica" w:hint="eastAsia"/>
          <w:color w:val="3E3E3E"/>
          <w:kern w:val="0"/>
          <w:sz w:val="24"/>
          <w:szCs w:val="24"/>
        </w:rPr>
        <w:t>。</w:t>
      </w:r>
      <w:r w:rsidRPr="0010096E">
        <w:rPr>
          <w:rFonts w:ascii="Arial" w:eastAsia="宋体" w:hAnsi="Arial" w:cs="Arial"/>
          <w:color w:val="3E3E3E"/>
          <w:kern w:val="0"/>
          <w:sz w:val="24"/>
          <w:szCs w:val="24"/>
        </w:rPr>
        <w:t>   </w:t>
      </w:r>
      <w:r w:rsidRPr="0010096E">
        <w:rPr>
          <w:rFonts w:ascii="Arial" w:eastAsia="宋体" w:hAnsi="Arial" w:cs="Arial"/>
          <w:color w:val="3E3E3E"/>
          <w:kern w:val="0"/>
          <w:sz w:val="24"/>
          <w:szCs w:val="24"/>
        </w:rPr>
        <w:br/>
        <w:t>         </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施工浪费</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施工浪费指油漆未到达施工工件表面而散失到周围环境或地面的浪费。如无空气喷涂散失油漆约</w:t>
      </w:r>
      <w:r w:rsidRPr="0010096E">
        <w:rPr>
          <w:rFonts w:ascii="Arial" w:eastAsia="宋体" w:hAnsi="Arial" w:cs="Arial"/>
          <w:color w:val="3E3E3E"/>
          <w:kern w:val="0"/>
          <w:sz w:val="24"/>
          <w:szCs w:val="24"/>
        </w:rPr>
        <w:t>10-20%</w:t>
      </w:r>
      <w:r w:rsidRPr="0010096E">
        <w:rPr>
          <w:rFonts w:ascii="宋体" w:eastAsia="宋体" w:hAnsi="宋体" w:cs="Arial" w:hint="eastAsia"/>
          <w:color w:val="3E3E3E"/>
          <w:kern w:val="0"/>
          <w:sz w:val="24"/>
          <w:szCs w:val="24"/>
        </w:rPr>
        <w:t>，有空气喷涂散失油漆</w:t>
      </w:r>
      <w:r w:rsidRPr="0010096E">
        <w:rPr>
          <w:rFonts w:ascii="Arial" w:eastAsia="宋体" w:hAnsi="Arial" w:cs="Arial"/>
          <w:color w:val="3E3E3E"/>
          <w:kern w:val="0"/>
          <w:sz w:val="24"/>
          <w:szCs w:val="24"/>
        </w:rPr>
        <w:t>50%</w:t>
      </w:r>
      <w:r w:rsidRPr="0010096E">
        <w:rPr>
          <w:rFonts w:ascii="宋体" w:eastAsia="宋体" w:hAnsi="宋体" w:cs="Arial" w:hint="eastAsia"/>
          <w:color w:val="3E3E3E"/>
          <w:kern w:val="0"/>
          <w:sz w:val="24"/>
          <w:szCs w:val="24"/>
        </w:rPr>
        <w:t>以上，滚涂约损耗</w:t>
      </w:r>
      <w:r w:rsidRPr="0010096E">
        <w:rPr>
          <w:rFonts w:ascii="Arial" w:eastAsia="宋体" w:hAnsi="Arial" w:cs="Arial"/>
          <w:color w:val="3E3E3E"/>
          <w:kern w:val="0"/>
          <w:sz w:val="24"/>
          <w:szCs w:val="24"/>
        </w:rPr>
        <w:t>5%</w:t>
      </w:r>
      <w:r w:rsidRPr="0010096E">
        <w:rPr>
          <w:rFonts w:ascii="宋体" w:eastAsia="宋体" w:hAnsi="宋体" w:cs="Arial" w:hint="eastAsia"/>
          <w:color w:val="3E3E3E"/>
          <w:kern w:val="0"/>
          <w:sz w:val="24"/>
          <w:szCs w:val="24"/>
        </w:rPr>
        <w:t>，刷涂控制好时相对少些，大风环境桥梁喷漆可引致</w:t>
      </w:r>
      <w:r w:rsidRPr="0010096E">
        <w:rPr>
          <w:rFonts w:ascii="Arial" w:eastAsia="宋体" w:hAnsi="Arial" w:cs="Arial"/>
          <w:color w:val="3E3E3E"/>
          <w:kern w:val="0"/>
          <w:sz w:val="24"/>
          <w:szCs w:val="24"/>
        </w:rPr>
        <w:t>100%</w:t>
      </w:r>
      <w:r w:rsidRPr="0010096E">
        <w:rPr>
          <w:rFonts w:ascii="宋体" w:eastAsia="宋体" w:hAnsi="宋体" w:cs="Arial" w:hint="eastAsia"/>
          <w:color w:val="3E3E3E"/>
          <w:kern w:val="0"/>
          <w:sz w:val="24"/>
          <w:szCs w:val="24"/>
        </w:rPr>
        <w:t>以上浪费。</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容器内残留油漆的浪费</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油漆施工完毕，残留于油漆桶内壁和橡皮管内的油漆，平均损耗值约为</w:t>
      </w:r>
      <w:r w:rsidRPr="0010096E">
        <w:rPr>
          <w:rFonts w:ascii="Arial" w:eastAsia="宋体" w:hAnsi="Arial" w:cs="Arial"/>
          <w:color w:val="3E3E3E"/>
          <w:kern w:val="0"/>
          <w:sz w:val="24"/>
          <w:szCs w:val="24"/>
        </w:rPr>
        <w:t>5%</w:t>
      </w:r>
      <w:r w:rsidRPr="0010096E">
        <w:rPr>
          <w:rFonts w:ascii="宋体" w:eastAsia="宋体" w:hAnsi="宋体" w:cs="Arial" w:hint="eastAsia"/>
          <w:color w:val="3E3E3E"/>
          <w:kern w:val="0"/>
          <w:sz w:val="24"/>
          <w:szCs w:val="24"/>
        </w:rPr>
        <w:t>。</w:t>
      </w:r>
      <w:r w:rsidRPr="0010096E">
        <w:rPr>
          <w:rFonts w:ascii="Arial" w:eastAsia="宋体" w:hAnsi="Arial" w:cs="Arial"/>
          <w:color w:val="3E3E3E"/>
          <w:kern w:val="0"/>
          <w:sz w:val="24"/>
          <w:szCs w:val="24"/>
        </w:rPr>
        <w:br/>
        <w:t>        </w:t>
      </w:r>
      <w:r w:rsidRPr="0010096E">
        <w:rPr>
          <w:rFonts w:ascii="宋体" w:eastAsia="宋体" w:hAnsi="宋体" w:cs="Arial" w:hint="eastAsia"/>
          <w:color w:val="3E3E3E"/>
          <w:kern w:val="0"/>
          <w:sz w:val="24"/>
          <w:szCs w:val="24"/>
        </w:rPr>
        <w:t>综上所述，施工中的油漆损耗系数主要由工件表面粗糙度损耗，漆膜厚度分布不均匀损耗，施工浪费，容器内残留油漆的浪费所造成。</w:t>
      </w:r>
      <w:r w:rsidRPr="0010096E">
        <w:rPr>
          <w:rFonts w:ascii="宋体" w:eastAsia="宋体" w:hAnsi="宋体" w:cs="Helvetica" w:hint="eastAsia"/>
          <w:color w:val="3E3E3E"/>
          <w:kern w:val="0"/>
          <w:sz w:val="30"/>
          <w:szCs w:val="30"/>
        </w:rPr>
        <w:t> </w:t>
      </w:r>
    </w:p>
    <w:p w:rsidR="0031561E" w:rsidRPr="0010096E" w:rsidRDefault="0031561E"/>
    <w:sectPr w:rsidR="0031561E" w:rsidRPr="001009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61E" w:rsidRDefault="0031561E" w:rsidP="0010096E">
      <w:r>
        <w:separator/>
      </w:r>
    </w:p>
  </w:endnote>
  <w:endnote w:type="continuationSeparator" w:id="1">
    <w:p w:rsidR="0031561E" w:rsidRDefault="0031561E" w:rsidP="00100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61E" w:rsidRDefault="0031561E" w:rsidP="0010096E">
      <w:r>
        <w:separator/>
      </w:r>
    </w:p>
  </w:footnote>
  <w:footnote w:type="continuationSeparator" w:id="1">
    <w:p w:rsidR="0031561E" w:rsidRDefault="0031561E" w:rsidP="00100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96E"/>
    <w:rsid w:val="0010096E"/>
    <w:rsid w:val="00315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09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96E"/>
    <w:rPr>
      <w:sz w:val="18"/>
      <w:szCs w:val="18"/>
    </w:rPr>
  </w:style>
  <w:style w:type="paragraph" w:styleId="a4">
    <w:name w:val="footer"/>
    <w:basedOn w:val="a"/>
    <w:link w:val="Char0"/>
    <w:uiPriority w:val="99"/>
    <w:semiHidden/>
    <w:unhideWhenUsed/>
    <w:rsid w:val="00100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096E"/>
    <w:rPr>
      <w:sz w:val="18"/>
      <w:szCs w:val="18"/>
    </w:rPr>
  </w:style>
  <w:style w:type="character" w:customStyle="1" w:styleId="2Char">
    <w:name w:val="标题 2 Char"/>
    <w:basedOn w:val="a0"/>
    <w:link w:val="2"/>
    <w:uiPriority w:val="9"/>
    <w:rsid w:val="0010096E"/>
    <w:rPr>
      <w:rFonts w:ascii="宋体" w:eastAsia="宋体" w:hAnsi="宋体" w:cs="宋体"/>
      <w:b/>
      <w:bCs/>
      <w:kern w:val="0"/>
      <w:sz w:val="36"/>
      <w:szCs w:val="36"/>
    </w:rPr>
  </w:style>
  <w:style w:type="character" w:styleId="a5">
    <w:name w:val="Emphasis"/>
    <w:basedOn w:val="a0"/>
    <w:uiPriority w:val="20"/>
    <w:qFormat/>
    <w:rsid w:val="0010096E"/>
    <w:rPr>
      <w:i/>
      <w:iCs/>
    </w:rPr>
  </w:style>
  <w:style w:type="character" w:customStyle="1" w:styleId="apple-converted-space">
    <w:name w:val="apple-converted-space"/>
    <w:basedOn w:val="a0"/>
    <w:rsid w:val="0010096E"/>
  </w:style>
  <w:style w:type="character" w:styleId="a6">
    <w:name w:val="Hyperlink"/>
    <w:basedOn w:val="a0"/>
    <w:uiPriority w:val="99"/>
    <w:semiHidden/>
    <w:unhideWhenUsed/>
    <w:rsid w:val="0010096E"/>
    <w:rPr>
      <w:color w:val="0000FF"/>
      <w:u w:val="single"/>
    </w:rPr>
  </w:style>
  <w:style w:type="paragraph" w:styleId="a7">
    <w:name w:val="Normal (Web)"/>
    <w:basedOn w:val="a"/>
    <w:uiPriority w:val="99"/>
    <w:semiHidden/>
    <w:unhideWhenUsed/>
    <w:rsid w:val="0010096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10096E"/>
    <w:rPr>
      <w:sz w:val="18"/>
      <w:szCs w:val="18"/>
    </w:rPr>
  </w:style>
  <w:style w:type="character" w:customStyle="1" w:styleId="Char1">
    <w:name w:val="批注框文本 Char"/>
    <w:basedOn w:val="a0"/>
    <w:link w:val="a8"/>
    <w:uiPriority w:val="99"/>
    <w:semiHidden/>
    <w:rsid w:val="0010096E"/>
    <w:rPr>
      <w:sz w:val="18"/>
      <w:szCs w:val="18"/>
    </w:rPr>
  </w:style>
</w:styles>
</file>

<file path=word/webSettings.xml><?xml version="1.0" encoding="utf-8"?>
<w:webSettings xmlns:r="http://schemas.openxmlformats.org/officeDocument/2006/relationships" xmlns:w="http://schemas.openxmlformats.org/wordprocessingml/2006/main">
  <w:divs>
    <w:div w:id="1736388506">
      <w:bodyDiv w:val="1"/>
      <w:marLeft w:val="0"/>
      <w:marRight w:val="0"/>
      <w:marTop w:val="0"/>
      <w:marBottom w:val="0"/>
      <w:divBdr>
        <w:top w:val="none" w:sz="0" w:space="0" w:color="auto"/>
        <w:left w:val="none" w:sz="0" w:space="0" w:color="auto"/>
        <w:bottom w:val="none" w:sz="0" w:space="0" w:color="auto"/>
        <w:right w:val="none" w:sz="0" w:space="0" w:color="auto"/>
      </w:divBdr>
      <w:divsChild>
        <w:div w:id="1915822400">
          <w:marLeft w:val="0"/>
          <w:marRight w:val="0"/>
          <w:marTop w:val="0"/>
          <w:marBottom w:val="270"/>
          <w:divBdr>
            <w:top w:val="none" w:sz="0" w:space="0" w:color="auto"/>
            <w:left w:val="none" w:sz="0" w:space="0" w:color="auto"/>
            <w:bottom w:val="none" w:sz="0" w:space="0" w:color="auto"/>
            <w:right w:val="none" w:sz="0" w:space="0" w:color="auto"/>
          </w:divBdr>
        </w:div>
        <w:div w:id="43367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2017-03-23T06:22:00Z</dcterms:created>
  <dcterms:modified xsi:type="dcterms:W3CDTF">2017-03-23T06:23:00Z</dcterms:modified>
</cp:coreProperties>
</file>