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97F" w:rsidRPr="00F1197F" w:rsidRDefault="00F1197F" w:rsidP="00F1197F">
      <w:pPr>
        <w:widowControl/>
        <w:pBdr>
          <w:bottom w:val="single" w:sz="6" w:space="8" w:color="E7E7EB"/>
        </w:pBdr>
        <w:spacing w:after="210"/>
        <w:jc w:val="left"/>
        <w:outlineLvl w:val="1"/>
        <w:rPr>
          <w:rFonts w:ascii="宋体" w:eastAsia="宋体" w:hAnsi="宋体" w:cs="宋体"/>
          <w:kern w:val="0"/>
          <w:sz w:val="36"/>
          <w:szCs w:val="36"/>
        </w:rPr>
      </w:pPr>
      <w:r w:rsidRPr="00F1197F">
        <w:rPr>
          <w:rFonts w:ascii="宋体" w:eastAsia="宋体" w:hAnsi="宋体" w:cs="宋体"/>
          <w:kern w:val="0"/>
          <w:sz w:val="36"/>
          <w:szCs w:val="36"/>
        </w:rPr>
        <w:t>营改增进项税额抵扣手册，这是目前最全的版本！</w:t>
      </w:r>
    </w:p>
    <w:p w:rsidR="00F1197F" w:rsidRPr="00F1197F" w:rsidRDefault="00F1197F" w:rsidP="00F1197F">
      <w:pPr>
        <w:widowControl/>
        <w:jc w:val="left"/>
        <w:rPr>
          <w:rFonts w:ascii="宋体" w:eastAsia="宋体" w:hAnsi="宋体" w:cs="宋体"/>
          <w:color w:val="3E3E3E"/>
          <w:kern w:val="0"/>
          <w:sz w:val="24"/>
          <w:szCs w:val="24"/>
        </w:rPr>
      </w:pPr>
    </w:p>
    <w:p w:rsidR="00F1197F" w:rsidRPr="00F1197F" w:rsidRDefault="00F1197F" w:rsidP="00F1197F">
      <w:pPr>
        <w:widowControl/>
        <w:jc w:val="left"/>
        <w:rPr>
          <w:rFonts w:ascii="微软雅黑" w:eastAsia="微软雅黑" w:hAnsi="微软雅黑" w:cs="宋体"/>
          <w:color w:val="3E3E3E"/>
          <w:kern w:val="0"/>
          <w:sz w:val="24"/>
          <w:szCs w:val="24"/>
        </w:rPr>
      </w:pPr>
      <w:r w:rsidRPr="00F1197F">
        <w:rPr>
          <w:rFonts w:ascii="宋体" w:eastAsia="宋体" w:hAnsi="宋体" w:cs="宋体" w:hint="eastAsia"/>
          <w:color w:val="888888"/>
          <w:kern w:val="0"/>
          <w:sz w:val="24"/>
          <w:szCs w:val="24"/>
        </w:rPr>
        <w:t>来源：北京国税、广联达造价圈</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一、分包工程支出</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分包工程支出，应按照分包商的纳税人资格和计税方法的选择来区分。</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1、</w:t>
      </w:r>
      <w:r w:rsidRPr="00F1197F">
        <w:rPr>
          <w:rFonts w:ascii="微软雅黑" w:eastAsia="微软雅黑" w:hAnsi="微软雅黑" w:cs="宋体" w:hint="eastAsia"/>
          <w:b/>
          <w:bCs/>
          <w:color w:val="3E3E3E"/>
          <w:kern w:val="0"/>
          <w:sz w:val="24"/>
          <w:szCs w:val="24"/>
        </w:rPr>
        <w:t> 分包商为小规模纳税人</w:t>
      </w:r>
      <w:r w:rsidRPr="00F1197F">
        <w:rPr>
          <w:rFonts w:ascii="微软雅黑" w:eastAsia="微软雅黑" w:hAnsi="微软雅黑" w:cs="宋体" w:hint="eastAsia"/>
          <w:color w:val="3E3E3E"/>
          <w:kern w:val="0"/>
          <w:sz w:val="24"/>
          <w:szCs w:val="24"/>
        </w:rPr>
        <w:t>，进项税抵扣税率为</w:t>
      </w:r>
      <w:r w:rsidRPr="00F1197F">
        <w:rPr>
          <w:rFonts w:ascii="微软雅黑" w:eastAsia="微软雅黑" w:hAnsi="微软雅黑" w:cs="宋体" w:hint="eastAsia"/>
          <w:b/>
          <w:bCs/>
          <w:color w:val="FF2941"/>
          <w:kern w:val="0"/>
          <w:sz w:val="24"/>
          <w:szCs w:val="24"/>
        </w:rPr>
        <w:t>3%</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2、</w:t>
      </w:r>
      <w:r w:rsidRPr="00F1197F">
        <w:rPr>
          <w:rFonts w:ascii="微软雅黑" w:eastAsia="微软雅黑" w:hAnsi="微软雅黑" w:cs="宋体" w:hint="eastAsia"/>
          <w:b/>
          <w:bCs/>
          <w:color w:val="3E3E3E"/>
          <w:kern w:val="0"/>
          <w:sz w:val="24"/>
          <w:szCs w:val="24"/>
        </w:rPr>
        <w:t> 分包商为一般纳税人</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1）专业分包，进项抵扣税率为</w:t>
      </w:r>
      <w:r w:rsidRPr="00F1197F">
        <w:rPr>
          <w:rFonts w:ascii="微软雅黑" w:eastAsia="微软雅黑" w:hAnsi="微软雅黑" w:cs="宋体" w:hint="eastAsia"/>
          <w:b/>
          <w:bCs/>
          <w:color w:val="FF2941"/>
          <w:kern w:val="0"/>
          <w:sz w:val="24"/>
          <w:szCs w:val="24"/>
        </w:rPr>
        <w:t>11%</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2）劳务分包（清包工除外），进项抵扣税率为</w:t>
      </w:r>
      <w:r w:rsidRPr="00F1197F">
        <w:rPr>
          <w:rFonts w:ascii="微软雅黑" w:eastAsia="微软雅黑" w:hAnsi="微软雅黑" w:cs="宋体" w:hint="eastAsia"/>
          <w:b/>
          <w:bCs/>
          <w:color w:val="FF2941"/>
          <w:kern w:val="0"/>
          <w:sz w:val="24"/>
          <w:szCs w:val="24"/>
        </w:rPr>
        <w:t>11%</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3）清包工</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①清包工（分包方采取简易计税），进项抵扣税率为</w:t>
      </w:r>
      <w:r w:rsidRPr="00F1197F">
        <w:rPr>
          <w:rFonts w:ascii="微软雅黑" w:eastAsia="微软雅黑" w:hAnsi="微软雅黑" w:cs="宋体" w:hint="eastAsia"/>
          <w:b/>
          <w:bCs/>
          <w:color w:val="FF2941"/>
          <w:kern w:val="0"/>
          <w:sz w:val="24"/>
          <w:szCs w:val="24"/>
        </w:rPr>
        <w:t>3%</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②清包工（分包方采取一般计税），进项抵扣税率为</w:t>
      </w:r>
      <w:r w:rsidRPr="00F1197F">
        <w:rPr>
          <w:rFonts w:ascii="微软雅黑" w:eastAsia="微软雅黑" w:hAnsi="微软雅黑" w:cs="宋体" w:hint="eastAsia"/>
          <w:b/>
          <w:bCs/>
          <w:color w:val="FF2941"/>
          <w:kern w:val="0"/>
          <w:sz w:val="24"/>
          <w:szCs w:val="24"/>
        </w:rPr>
        <w:t>11%</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二、工程物资</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工程物资，由于工程材料物资种类繁多，所以分供商提供的增值税专用发票的适用税率也不尽相同。一般的材料物资适用税率是17%，但也有一些特殊情况：</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1、木材及竹木制品，进项抵扣税率为</w:t>
      </w:r>
      <w:r w:rsidRPr="00F1197F">
        <w:rPr>
          <w:rFonts w:ascii="微软雅黑" w:eastAsia="微软雅黑" w:hAnsi="微软雅黑" w:cs="宋体" w:hint="eastAsia"/>
          <w:b/>
          <w:bCs/>
          <w:color w:val="FF2941"/>
          <w:kern w:val="0"/>
          <w:sz w:val="24"/>
          <w:szCs w:val="24"/>
        </w:rPr>
        <w:t>13%、17%</w:t>
      </w:r>
      <w:r w:rsidRPr="00F1197F">
        <w:rPr>
          <w:rFonts w:ascii="微软雅黑" w:eastAsia="微软雅黑" w:hAnsi="微软雅黑" w:cs="宋体" w:hint="eastAsia"/>
          <w:b/>
          <w:bCs/>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属于初次生产农产品的原木和原竹，取得的发票可能会是农产品收购发票或销售发票，而非增值税专用发票，但同样可以抵扣进项税，适用税率为13%；而经过加工的属于半成品或成品的木材及竹木制品，取得的发票是增值税专用发票，适用税率一般是17%。</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2、水泥及商品混凝土，进项抵扣税率为</w:t>
      </w:r>
      <w:r w:rsidRPr="00F1197F">
        <w:rPr>
          <w:rFonts w:ascii="微软雅黑" w:eastAsia="微软雅黑" w:hAnsi="微软雅黑" w:cs="宋体" w:hint="eastAsia"/>
          <w:b/>
          <w:bCs/>
          <w:color w:val="FF2941"/>
          <w:kern w:val="0"/>
          <w:sz w:val="24"/>
          <w:szCs w:val="24"/>
        </w:rPr>
        <w:t>17%、3%</w:t>
      </w:r>
      <w:r w:rsidRPr="00F1197F">
        <w:rPr>
          <w:rFonts w:ascii="微软雅黑" w:eastAsia="微软雅黑" w:hAnsi="微软雅黑" w:cs="宋体" w:hint="eastAsia"/>
          <w:b/>
          <w:bCs/>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lastRenderedPageBreak/>
        <w:t>购买水泥和一般商品混凝土的税率通常为17%；但以水泥为原料生产水泥混凝土，就可以选择简易征收，征收率为3%。  </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3、砂土石料等地材，进项抵扣税率为</w:t>
      </w:r>
      <w:r w:rsidRPr="00F1197F">
        <w:rPr>
          <w:rFonts w:ascii="微软雅黑" w:eastAsia="微软雅黑" w:hAnsi="微软雅黑" w:cs="宋体" w:hint="eastAsia"/>
          <w:b/>
          <w:bCs/>
          <w:color w:val="FF2941"/>
          <w:kern w:val="0"/>
          <w:sz w:val="24"/>
          <w:szCs w:val="24"/>
        </w:rPr>
        <w:t>17%、3%</w:t>
      </w:r>
      <w:r w:rsidRPr="00F1197F">
        <w:rPr>
          <w:rFonts w:ascii="微软雅黑" w:eastAsia="微软雅黑" w:hAnsi="微软雅黑" w:cs="宋体" w:hint="eastAsia"/>
          <w:b/>
          <w:bCs/>
          <w:color w:val="3E3E3E"/>
          <w:kern w:val="0"/>
          <w:sz w:val="24"/>
          <w:szCs w:val="24"/>
        </w:rPr>
        <w:t> 。</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在商贸企业购买的适用税率是17%；但从生产企业购买，生产企业自产的建筑用砂、土、石料以及自产砂、土、石料连续生产砖、瓦、石灰可以选择简易征收，适用税率为3%。</w:t>
      </w:r>
    </w:p>
    <w:p w:rsidR="00F1197F" w:rsidRPr="00F1197F" w:rsidRDefault="00F1197F" w:rsidP="00F1197F">
      <w:pPr>
        <w:widowControl/>
        <w:jc w:val="left"/>
        <w:rPr>
          <w:rFonts w:ascii="宋体" w:eastAsia="宋体" w:hAnsi="宋体" w:cs="宋体" w:hint="eastAsia"/>
          <w:color w:val="3E3E3E"/>
          <w:kern w:val="0"/>
          <w:sz w:val="24"/>
          <w:szCs w:val="24"/>
        </w:rPr>
      </w:pPr>
    </w:p>
    <w:p w:rsidR="00F1197F" w:rsidRPr="00F1197F" w:rsidRDefault="00F1197F" w:rsidP="00F1197F">
      <w:pPr>
        <w:widowControl/>
        <w:shd w:val="clear" w:color="auto" w:fill="EF4277"/>
        <w:spacing w:line="480" w:lineRule="atLeast"/>
        <w:jc w:val="center"/>
        <w:textAlignment w:val="top"/>
        <w:rPr>
          <w:rFonts w:ascii="宋体" w:eastAsia="宋体" w:hAnsi="宋体" w:cs="宋体"/>
          <w:color w:val="FFFFFF"/>
          <w:kern w:val="0"/>
          <w:sz w:val="24"/>
          <w:szCs w:val="24"/>
        </w:rPr>
      </w:pPr>
      <w:r w:rsidRPr="00F1197F">
        <w:rPr>
          <w:rFonts w:ascii="宋体" w:eastAsia="宋体" w:hAnsi="宋体" w:cs="宋体"/>
          <w:color w:val="FFFFFF"/>
          <w:kern w:val="0"/>
          <w:sz w:val="24"/>
          <w:szCs w:val="24"/>
        </w:rPr>
        <w:t>三、机械使用费</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b/>
          <w:bCs/>
          <w:color w:val="3E3E3E"/>
          <w:kern w:val="0"/>
          <w:sz w:val="24"/>
          <w:szCs w:val="24"/>
        </w:rPr>
        <w:t>1、外购机械设备进项抵扣税率为</w:t>
      </w:r>
      <w:r w:rsidRPr="00F1197F">
        <w:rPr>
          <w:rFonts w:ascii="宋体" w:eastAsia="宋体" w:hAnsi="宋体" w:cs="宋体"/>
          <w:b/>
          <w:bCs/>
          <w:color w:val="FF2941"/>
          <w:kern w:val="0"/>
          <w:sz w:val="24"/>
          <w:szCs w:val="24"/>
        </w:rPr>
        <w:t>17%</w:t>
      </w:r>
      <w:r w:rsidRPr="00F1197F">
        <w:rPr>
          <w:rFonts w:ascii="宋体" w:eastAsia="宋体" w:hAnsi="宋体" w:cs="宋体"/>
          <w:b/>
          <w:bCs/>
          <w:color w:val="3E3E3E"/>
          <w:kern w:val="0"/>
          <w:sz w:val="24"/>
          <w:szCs w:val="24"/>
        </w:rPr>
        <w:t>。</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color w:val="3E3E3E"/>
          <w:kern w:val="0"/>
          <w:sz w:val="24"/>
          <w:szCs w:val="24"/>
        </w:rPr>
        <w:t>购买机械设备取得的增值税专用发票，可以一次性抵扣，但购买时要注意控制综合成本，选择综合成本较低的供应商。</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b/>
          <w:bCs/>
          <w:color w:val="3E3E3E"/>
          <w:kern w:val="0"/>
          <w:sz w:val="24"/>
          <w:szCs w:val="24"/>
        </w:rPr>
        <w:t>2、租赁机械</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color w:val="3E3E3E"/>
          <w:kern w:val="0"/>
          <w:sz w:val="24"/>
          <w:szCs w:val="24"/>
        </w:rPr>
        <w:t>1）租赁机械（只租赁设备），进项抵扣税率为</w:t>
      </w:r>
      <w:r w:rsidRPr="00F1197F">
        <w:rPr>
          <w:rFonts w:ascii="宋体" w:eastAsia="宋体" w:hAnsi="宋体" w:cs="宋体"/>
          <w:b/>
          <w:bCs/>
          <w:color w:val="FF2941"/>
          <w:kern w:val="0"/>
          <w:sz w:val="24"/>
          <w:szCs w:val="24"/>
        </w:rPr>
        <w:t>17%，3%</w:t>
      </w:r>
      <w:r w:rsidRPr="00F1197F">
        <w:rPr>
          <w:rFonts w:ascii="宋体" w:eastAsia="宋体" w:hAnsi="宋体" w:cs="宋体"/>
          <w:color w:val="3E3E3E"/>
          <w:kern w:val="0"/>
          <w:sz w:val="24"/>
          <w:szCs w:val="24"/>
        </w:rPr>
        <w:t>。</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color w:val="3E3E3E"/>
          <w:kern w:val="0"/>
          <w:sz w:val="24"/>
          <w:szCs w:val="24"/>
        </w:rPr>
        <w:t>租赁设备，一般情况下适用税率为17%；但是若出租方以试点实施之前购进或者自制的有形动产为标的物提供的经营租赁服务，试点期间可以选择简易计税方法计算缴纳增值税，使用征收率为3%。</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color w:val="3E3E3E"/>
          <w:kern w:val="0"/>
          <w:sz w:val="24"/>
          <w:szCs w:val="24"/>
        </w:rPr>
        <w:t>2）租赁机械（租赁设备+操作人员），进项抵扣税率为</w:t>
      </w:r>
      <w:r w:rsidRPr="00F1197F">
        <w:rPr>
          <w:rFonts w:ascii="宋体" w:eastAsia="宋体" w:hAnsi="宋体" w:cs="宋体"/>
          <w:b/>
          <w:bCs/>
          <w:color w:val="FF2941"/>
          <w:kern w:val="0"/>
          <w:sz w:val="24"/>
          <w:szCs w:val="24"/>
        </w:rPr>
        <w:t>11%</w:t>
      </w:r>
      <w:r w:rsidRPr="00F1197F">
        <w:rPr>
          <w:rFonts w:ascii="宋体" w:eastAsia="宋体" w:hAnsi="宋体" w:cs="宋体"/>
          <w:color w:val="3E3E3E"/>
          <w:kern w:val="0"/>
          <w:sz w:val="24"/>
          <w:szCs w:val="24"/>
        </w:rPr>
        <w:t>。</w:t>
      </w:r>
    </w:p>
    <w:p w:rsidR="00F1197F" w:rsidRPr="00F1197F" w:rsidRDefault="00F1197F" w:rsidP="00F1197F">
      <w:pPr>
        <w:widowControl/>
        <w:shd w:val="clear" w:color="auto" w:fill="EF4277"/>
        <w:spacing w:line="480" w:lineRule="atLeast"/>
        <w:jc w:val="center"/>
        <w:textAlignment w:val="top"/>
        <w:rPr>
          <w:rFonts w:ascii="宋体" w:eastAsia="宋体" w:hAnsi="宋体" w:cs="宋体"/>
          <w:color w:val="FFFFFF"/>
          <w:kern w:val="0"/>
          <w:sz w:val="24"/>
          <w:szCs w:val="24"/>
        </w:rPr>
      </w:pPr>
      <w:r w:rsidRPr="00F1197F">
        <w:rPr>
          <w:rFonts w:ascii="宋体" w:eastAsia="宋体" w:hAnsi="宋体" w:cs="宋体"/>
          <w:color w:val="FFFFFF"/>
          <w:kern w:val="0"/>
          <w:sz w:val="24"/>
          <w:szCs w:val="24"/>
        </w:rPr>
        <w:t>四、临时设施费</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b/>
          <w:bCs/>
          <w:color w:val="3E3E3E"/>
          <w:kern w:val="0"/>
          <w:sz w:val="24"/>
          <w:szCs w:val="24"/>
        </w:rPr>
        <w:t>临时设施费，进项抵扣税率为</w:t>
      </w:r>
      <w:r w:rsidRPr="00F1197F">
        <w:rPr>
          <w:rFonts w:ascii="宋体" w:eastAsia="宋体" w:hAnsi="宋体" w:cs="宋体"/>
          <w:b/>
          <w:bCs/>
          <w:color w:val="FF2941"/>
          <w:kern w:val="0"/>
          <w:sz w:val="24"/>
          <w:szCs w:val="24"/>
        </w:rPr>
        <w:t>17%</w:t>
      </w:r>
      <w:r w:rsidRPr="00F1197F">
        <w:rPr>
          <w:rFonts w:ascii="宋体" w:eastAsia="宋体" w:hAnsi="宋体" w:cs="宋体"/>
          <w:color w:val="3E3E3E"/>
          <w:kern w:val="0"/>
          <w:sz w:val="24"/>
          <w:szCs w:val="24"/>
        </w:rPr>
        <w:t>。</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color w:val="3E3E3E"/>
          <w:kern w:val="0"/>
          <w:sz w:val="24"/>
          <w:szCs w:val="24"/>
        </w:rPr>
        <w:t>工程项目发生的临时设施费用，例如购买的脚手架、活动板房、围墙等，这些费用的支出都是可以一次性抵扣的。</w:t>
      </w:r>
    </w:p>
    <w:p w:rsidR="00F1197F" w:rsidRPr="00F1197F" w:rsidRDefault="00F1197F" w:rsidP="00F1197F">
      <w:pPr>
        <w:widowControl/>
        <w:shd w:val="clear" w:color="auto" w:fill="EF4277"/>
        <w:spacing w:line="480" w:lineRule="atLeast"/>
        <w:jc w:val="center"/>
        <w:textAlignment w:val="top"/>
        <w:rPr>
          <w:rFonts w:ascii="宋体" w:eastAsia="宋体" w:hAnsi="宋体" w:cs="宋体"/>
          <w:color w:val="FFFFFF"/>
          <w:kern w:val="0"/>
          <w:sz w:val="24"/>
          <w:szCs w:val="24"/>
        </w:rPr>
      </w:pPr>
      <w:r w:rsidRPr="00F1197F">
        <w:rPr>
          <w:rFonts w:ascii="宋体" w:eastAsia="宋体" w:hAnsi="宋体" w:cs="宋体"/>
          <w:color w:val="FFFFFF"/>
          <w:kern w:val="0"/>
          <w:sz w:val="24"/>
          <w:szCs w:val="24"/>
        </w:rPr>
        <w:t>五、水费</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b/>
          <w:bCs/>
          <w:color w:val="3E3E3E"/>
          <w:kern w:val="0"/>
          <w:sz w:val="24"/>
          <w:szCs w:val="24"/>
        </w:rPr>
        <w:t>水费，进项抵扣税率为</w:t>
      </w:r>
      <w:r w:rsidRPr="00F1197F">
        <w:rPr>
          <w:rFonts w:ascii="宋体" w:eastAsia="宋体" w:hAnsi="宋体" w:cs="宋体"/>
          <w:b/>
          <w:bCs/>
          <w:color w:val="FF2941"/>
          <w:kern w:val="0"/>
          <w:sz w:val="24"/>
          <w:szCs w:val="24"/>
        </w:rPr>
        <w:t>13%、3%</w:t>
      </w:r>
      <w:r w:rsidRPr="00F1197F">
        <w:rPr>
          <w:rFonts w:ascii="宋体" w:eastAsia="宋体" w:hAnsi="宋体" w:cs="宋体"/>
          <w:color w:val="3E3E3E"/>
          <w:kern w:val="0"/>
          <w:sz w:val="24"/>
          <w:szCs w:val="24"/>
        </w:rPr>
        <w:t>。</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color w:val="3E3E3E"/>
          <w:kern w:val="0"/>
          <w:sz w:val="24"/>
          <w:szCs w:val="24"/>
        </w:rPr>
        <w:t>从自来水公司可以取得增值税专用发票，只能抵扣3%的进项税，从其他水厂购买的水，取得增值税专用发票，可抵扣13%的进项税。</w:t>
      </w:r>
    </w:p>
    <w:p w:rsidR="00F1197F" w:rsidRPr="00F1197F" w:rsidRDefault="00F1197F" w:rsidP="00F1197F">
      <w:pPr>
        <w:widowControl/>
        <w:shd w:val="clear" w:color="auto" w:fill="EF4277"/>
        <w:spacing w:line="480" w:lineRule="atLeast"/>
        <w:jc w:val="center"/>
        <w:textAlignment w:val="top"/>
        <w:rPr>
          <w:rFonts w:ascii="宋体" w:eastAsia="宋体" w:hAnsi="宋体" w:cs="宋体"/>
          <w:color w:val="FFFFFF"/>
          <w:kern w:val="0"/>
          <w:sz w:val="24"/>
          <w:szCs w:val="24"/>
        </w:rPr>
      </w:pPr>
      <w:r w:rsidRPr="00F1197F">
        <w:rPr>
          <w:rFonts w:ascii="宋体" w:eastAsia="宋体" w:hAnsi="宋体" w:cs="宋体"/>
          <w:color w:val="FFFFFF"/>
          <w:kern w:val="0"/>
          <w:sz w:val="24"/>
          <w:szCs w:val="24"/>
        </w:rPr>
        <w:t>六、电费</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b/>
          <w:bCs/>
          <w:color w:val="3E3E3E"/>
          <w:kern w:val="0"/>
          <w:sz w:val="24"/>
          <w:szCs w:val="24"/>
        </w:rPr>
        <w:t>电费，进项抵扣税率为</w:t>
      </w:r>
      <w:r w:rsidRPr="00F1197F">
        <w:rPr>
          <w:rFonts w:ascii="宋体" w:eastAsia="宋体" w:hAnsi="宋体" w:cs="宋体"/>
          <w:b/>
          <w:bCs/>
          <w:color w:val="FF2941"/>
          <w:kern w:val="0"/>
          <w:sz w:val="24"/>
          <w:szCs w:val="24"/>
        </w:rPr>
        <w:t>17%</w:t>
      </w:r>
      <w:r w:rsidRPr="00F1197F">
        <w:rPr>
          <w:rFonts w:ascii="宋体" w:eastAsia="宋体" w:hAnsi="宋体" w:cs="宋体"/>
          <w:b/>
          <w:bCs/>
          <w:color w:val="3E3E3E"/>
          <w:kern w:val="0"/>
          <w:sz w:val="24"/>
          <w:szCs w:val="24"/>
        </w:rPr>
        <w:t>。</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color w:val="3E3E3E"/>
          <w:kern w:val="0"/>
          <w:sz w:val="24"/>
          <w:szCs w:val="24"/>
        </w:rPr>
        <w:lastRenderedPageBreak/>
        <w:t>电网公司直接开具的电费增值税专用发票可以抵扣；租赁房屋和施工现场业主的电表，应从出租方或业主方取得增值税专用发票，抵扣进项税。</w:t>
      </w:r>
    </w:p>
    <w:p w:rsidR="00F1197F" w:rsidRPr="00F1197F" w:rsidRDefault="00F1197F" w:rsidP="00F1197F">
      <w:pPr>
        <w:widowControl/>
        <w:jc w:val="left"/>
        <w:rPr>
          <w:rFonts w:ascii="宋体" w:eastAsia="宋体" w:hAnsi="宋体" w:cs="宋体"/>
          <w:color w:val="3E3E3E"/>
          <w:kern w:val="0"/>
          <w:sz w:val="24"/>
          <w:szCs w:val="24"/>
        </w:rPr>
      </w:pP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color w:val="FFFFFF"/>
          <w:kern w:val="0"/>
          <w:sz w:val="24"/>
          <w:szCs w:val="24"/>
        </w:rPr>
      </w:pPr>
      <w:r w:rsidRPr="00F1197F">
        <w:rPr>
          <w:rFonts w:ascii="微软雅黑" w:eastAsia="微软雅黑" w:hAnsi="微软雅黑" w:cs="宋体" w:hint="eastAsia"/>
          <w:color w:val="FFFFFF"/>
          <w:kern w:val="0"/>
          <w:sz w:val="24"/>
          <w:szCs w:val="24"/>
        </w:rPr>
        <w:t>七、勘察勘探费用</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勘察勘探费用，进项抵扣税率为</w:t>
      </w:r>
      <w:r w:rsidRPr="00F1197F">
        <w:rPr>
          <w:rFonts w:ascii="微软雅黑" w:eastAsia="微软雅黑" w:hAnsi="微软雅黑" w:cs="宋体" w:hint="eastAsia"/>
          <w:b/>
          <w:bCs/>
          <w:color w:val="FF2941"/>
          <w:kern w:val="0"/>
          <w:sz w:val="24"/>
          <w:szCs w:val="24"/>
        </w:rPr>
        <w:t>6%</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勘察勘探服务支出可以抵扣进项税。</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八、工程设计费</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工程设计费用，进项抵扣税率为</w:t>
      </w:r>
      <w:r w:rsidRPr="00F1197F">
        <w:rPr>
          <w:rFonts w:ascii="微软雅黑" w:eastAsia="微软雅黑" w:hAnsi="微软雅黑" w:cs="宋体" w:hint="eastAsia"/>
          <w:b/>
          <w:bCs/>
          <w:color w:val="FF2941"/>
          <w:kern w:val="0"/>
          <w:sz w:val="24"/>
          <w:szCs w:val="24"/>
        </w:rPr>
        <w:t>6%</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设计费支出可以抵扣进项税。</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九、检验试验费</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检验试验费，进项抵扣税率为</w:t>
      </w:r>
      <w:r w:rsidRPr="00F1197F">
        <w:rPr>
          <w:rFonts w:ascii="微软雅黑" w:eastAsia="微软雅黑" w:hAnsi="微软雅黑" w:cs="宋体" w:hint="eastAsia"/>
          <w:b/>
          <w:bCs/>
          <w:color w:val="FF2941"/>
          <w:kern w:val="0"/>
          <w:sz w:val="24"/>
          <w:szCs w:val="24"/>
        </w:rPr>
        <w:t>6%</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专业检测机构对样本进行检验和试验。</w:t>
      </w:r>
    </w:p>
    <w:p w:rsidR="00F1197F" w:rsidRPr="00F1197F" w:rsidRDefault="00F1197F" w:rsidP="00F1197F">
      <w:pPr>
        <w:widowControl/>
        <w:jc w:val="left"/>
        <w:rPr>
          <w:rFonts w:ascii="宋体" w:eastAsia="宋体" w:hAnsi="宋体" w:cs="宋体" w:hint="eastAsia"/>
          <w:color w:val="3E3E3E"/>
          <w:kern w:val="0"/>
          <w:sz w:val="24"/>
          <w:szCs w:val="24"/>
        </w:rPr>
      </w:pPr>
    </w:p>
    <w:p w:rsidR="00F1197F" w:rsidRPr="00F1197F" w:rsidRDefault="00F1197F" w:rsidP="00F1197F">
      <w:pPr>
        <w:widowControl/>
        <w:shd w:val="clear" w:color="auto" w:fill="EF4277"/>
        <w:spacing w:line="480" w:lineRule="atLeast"/>
        <w:jc w:val="center"/>
        <w:textAlignment w:val="top"/>
        <w:rPr>
          <w:rFonts w:ascii="宋体" w:eastAsia="宋体" w:hAnsi="宋体" w:cs="宋体"/>
          <w:color w:val="FFFFFF"/>
          <w:kern w:val="0"/>
          <w:sz w:val="24"/>
          <w:szCs w:val="24"/>
        </w:rPr>
      </w:pPr>
      <w:r w:rsidRPr="00F1197F">
        <w:rPr>
          <w:rFonts w:ascii="宋体" w:eastAsia="宋体" w:hAnsi="宋体" w:cs="宋体"/>
          <w:color w:val="FFFFFF"/>
          <w:kern w:val="0"/>
          <w:sz w:val="24"/>
          <w:szCs w:val="24"/>
        </w:rPr>
        <w:t>十、电话费</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b/>
          <w:bCs/>
          <w:color w:val="3E3E3E"/>
          <w:kern w:val="0"/>
          <w:sz w:val="24"/>
          <w:szCs w:val="24"/>
        </w:rPr>
        <w:t>电话费，进项抵扣税率为</w:t>
      </w:r>
      <w:r w:rsidRPr="00F1197F">
        <w:rPr>
          <w:rFonts w:ascii="宋体" w:eastAsia="宋体" w:hAnsi="宋体" w:cs="宋体"/>
          <w:b/>
          <w:bCs/>
          <w:color w:val="FF2941"/>
          <w:kern w:val="0"/>
          <w:sz w:val="24"/>
          <w:szCs w:val="24"/>
        </w:rPr>
        <w:t>11%、6%</w:t>
      </w:r>
      <w:r w:rsidRPr="00F1197F">
        <w:rPr>
          <w:rFonts w:ascii="宋体" w:eastAsia="宋体" w:hAnsi="宋体" w:cs="宋体"/>
          <w:color w:val="3E3E3E"/>
          <w:kern w:val="0"/>
          <w:sz w:val="24"/>
          <w:szCs w:val="24"/>
        </w:rPr>
        <w:t>。</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color w:val="3E3E3E"/>
          <w:kern w:val="0"/>
          <w:sz w:val="24"/>
          <w:szCs w:val="24"/>
        </w:rPr>
        <w:t>电信业适用两档税率，基础电信服务适用税率为11%，增值电信服务适用税率为6%。</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color w:val="3E3E3E"/>
          <w:kern w:val="0"/>
          <w:sz w:val="24"/>
          <w:szCs w:val="24"/>
        </w:rPr>
        <w:t>员工个人抬头发票无法取得增值税专用发票，无法抵扣进项税，带有福利性质的通信费补贴不允许抵扣进项税。企业的名义的电话费，取得专用发票可以抵扣。</w:t>
      </w:r>
    </w:p>
    <w:p w:rsidR="00F1197F" w:rsidRPr="00F1197F" w:rsidRDefault="00F1197F" w:rsidP="00F1197F">
      <w:pPr>
        <w:widowControl/>
        <w:jc w:val="left"/>
        <w:rPr>
          <w:rFonts w:ascii="宋体" w:eastAsia="宋体" w:hAnsi="宋体" w:cs="宋体"/>
          <w:color w:val="3E3E3E"/>
          <w:kern w:val="0"/>
          <w:sz w:val="24"/>
          <w:szCs w:val="24"/>
        </w:rPr>
      </w:pP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color w:val="FFFFFF"/>
          <w:kern w:val="0"/>
          <w:sz w:val="24"/>
          <w:szCs w:val="24"/>
        </w:rPr>
      </w:pPr>
      <w:r w:rsidRPr="00F1197F">
        <w:rPr>
          <w:rFonts w:ascii="微软雅黑" w:eastAsia="微软雅黑" w:hAnsi="微软雅黑" w:cs="宋体" w:hint="eastAsia"/>
          <w:color w:val="FFFFFF"/>
          <w:kern w:val="0"/>
          <w:sz w:val="24"/>
          <w:szCs w:val="24"/>
        </w:rPr>
        <w:t>十一、邮递费</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邮递费，进项抵扣税率为</w:t>
      </w:r>
      <w:r w:rsidRPr="00F1197F">
        <w:rPr>
          <w:rFonts w:ascii="微软雅黑" w:eastAsia="微软雅黑" w:hAnsi="微软雅黑" w:cs="宋体" w:hint="eastAsia"/>
          <w:b/>
          <w:bCs/>
          <w:color w:val="FF2941"/>
          <w:kern w:val="0"/>
          <w:sz w:val="24"/>
          <w:szCs w:val="24"/>
        </w:rPr>
        <w:t>6%</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快递费可以抵扣进项税，建议采用月结方式结算，较易取得增值税专用发票。</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十二、报刊杂志</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报刊杂志，进项抵扣税率为</w:t>
      </w:r>
      <w:r w:rsidRPr="00F1197F">
        <w:rPr>
          <w:rFonts w:ascii="微软雅黑" w:eastAsia="微软雅黑" w:hAnsi="微软雅黑" w:cs="宋体" w:hint="eastAsia"/>
          <w:b/>
          <w:bCs/>
          <w:color w:val="FF2941"/>
          <w:kern w:val="0"/>
          <w:sz w:val="24"/>
          <w:szCs w:val="24"/>
        </w:rPr>
        <w:t>13%</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图书、报刊、杂志的适用税率可以抵扣，但是注意索要增值税专用发票。</w:t>
      </w:r>
    </w:p>
    <w:p w:rsidR="00F1197F" w:rsidRPr="00F1197F" w:rsidRDefault="00F1197F" w:rsidP="00F1197F">
      <w:pPr>
        <w:widowControl/>
        <w:jc w:val="left"/>
        <w:rPr>
          <w:rFonts w:ascii="宋体" w:eastAsia="宋体" w:hAnsi="宋体" w:cs="宋体" w:hint="eastAsia"/>
          <w:color w:val="3E3E3E"/>
          <w:kern w:val="0"/>
          <w:sz w:val="24"/>
          <w:szCs w:val="24"/>
        </w:rPr>
      </w:pPr>
    </w:p>
    <w:p w:rsidR="00F1197F" w:rsidRPr="00F1197F" w:rsidRDefault="00F1197F" w:rsidP="00F1197F">
      <w:pPr>
        <w:widowControl/>
        <w:shd w:val="clear" w:color="auto" w:fill="EF4277"/>
        <w:spacing w:line="480" w:lineRule="atLeast"/>
        <w:jc w:val="center"/>
        <w:textAlignment w:val="top"/>
        <w:rPr>
          <w:rFonts w:ascii="宋体" w:eastAsia="宋体" w:hAnsi="宋体" w:cs="宋体"/>
          <w:color w:val="FFFFFF"/>
          <w:kern w:val="0"/>
          <w:sz w:val="24"/>
          <w:szCs w:val="24"/>
        </w:rPr>
      </w:pPr>
      <w:r w:rsidRPr="00F1197F">
        <w:rPr>
          <w:rFonts w:ascii="宋体" w:eastAsia="宋体" w:hAnsi="宋体" w:cs="宋体"/>
          <w:color w:val="FFFFFF"/>
          <w:kern w:val="0"/>
          <w:sz w:val="24"/>
          <w:szCs w:val="24"/>
        </w:rPr>
        <w:t>十三、汽油费、柴油费</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b/>
          <w:bCs/>
          <w:color w:val="3E3E3E"/>
          <w:kern w:val="0"/>
          <w:sz w:val="24"/>
          <w:szCs w:val="24"/>
        </w:rPr>
        <w:t>汽油费、柴油费，进项抵扣税率为</w:t>
      </w:r>
      <w:r w:rsidRPr="00F1197F">
        <w:rPr>
          <w:rFonts w:ascii="宋体" w:eastAsia="宋体" w:hAnsi="宋体" w:cs="宋体"/>
          <w:b/>
          <w:bCs/>
          <w:color w:val="FF2941"/>
          <w:kern w:val="0"/>
          <w:sz w:val="24"/>
          <w:szCs w:val="24"/>
        </w:rPr>
        <w:t>17%</w:t>
      </w:r>
      <w:r w:rsidRPr="00F1197F">
        <w:rPr>
          <w:rFonts w:ascii="宋体" w:eastAsia="宋体" w:hAnsi="宋体" w:cs="宋体"/>
          <w:color w:val="3E3E3E"/>
          <w:kern w:val="0"/>
          <w:sz w:val="24"/>
          <w:szCs w:val="24"/>
        </w:rPr>
        <w:t>。</w:t>
      </w:r>
    </w:p>
    <w:p w:rsidR="00F1197F" w:rsidRPr="00F1197F" w:rsidRDefault="00F1197F" w:rsidP="00F1197F">
      <w:pPr>
        <w:widowControl/>
        <w:spacing w:line="450" w:lineRule="atLeast"/>
        <w:rPr>
          <w:rFonts w:ascii="宋体" w:eastAsia="宋体" w:hAnsi="宋体" w:cs="宋体"/>
          <w:color w:val="3E3E3E"/>
          <w:kern w:val="0"/>
          <w:szCs w:val="21"/>
        </w:rPr>
      </w:pPr>
      <w:r w:rsidRPr="00F1197F">
        <w:rPr>
          <w:rFonts w:ascii="宋体" w:eastAsia="宋体" w:hAnsi="宋体" w:cs="宋体"/>
          <w:color w:val="3E3E3E"/>
          <w:kern w:val="0"/>
          <w:sz w:val="24"/>
          <w:szCs w:val="24"/>
        </w:rPr>
        <w:t>汽车、机械使用的燃料费用，是施工过程中不可缺少的成本支出，这些支出的进项税是可以抵扣的。但司机师傅自己单独分次加油，可能无法取得增值税专用发票，需要统一办理加油卡，在加油后凭卡或者加油凭证，再开具增值税专用发票。</w:t>
      </w:r>
    </w:p>
    <w:p w:rsidR="00F1197F" w:rsidRPr="00F1197F" w:rsidRDefault="00F1197F" w:rsidP="00F1197F">
      <w:pPr>
        <w:widowControl/>
        <w:jc w:val="left"/>
        <w:rPr>
          <w:rFonts w:ascii="宋体" w:eastAsia="宋体" w:hAnsi="宋体" w:cs="宋体"/>
          <w:color w:val="3E3E3E"/>
          <w:kern w:val="0"/>
          <w:sz w:val="24"/>
          <w:szCs w:val="24"/>
        </w:rPr>
      </w:pP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color w:val="FFFFFF"/>
          <w:kern w:val="0"/>
          <w:sz w:val="24"/>
          <w:szCs w:val="24"/>
        </w:rPr>
      </w:pPr>
      <w:r w:rsidRPr="00F1197F">
        <w:rPr>
          <w:rFonts w:ascii="微软雅黑" w:eastAsia="微软雅黑" w:hAnsi="微软雅黑" w:cs="宋体" w:hint="eastAsia"/>
          <w:color w:val="FFFFFF"/>
          <w:kern w:val="0"/>
          <w:sz w:val="24"/>
          <w:szCs w:val="24"/>
        </w:rPr>
        <w:t>十四、供气供热费用</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供气供热费用，进项抵扣税率为</w:t>
      </w:r>
      <w:r w:rsidRPr="00F1197F">
        <w:rPr>
          <w:rFonts w:ascii="微软雅黑" w:eastAsia="微软雅黑" w:hAnsi="微软雅黑" w:cs="宋体" w:hint="eastAsia"/>
          <w:b/>
          <w:bCs/>
          <w:color w:val="FF2941"/>
          <w:kern w:val="0"/>
          <w:sz w:val="24"/>
          <w:szCs w:val="24"/>
        </w:rPr>
        <w:t>13%</w:t>
      </w:r>
      <w:r w:rsidRPr="00F1197F">
        <w:rPr>
          <w:rFonts w:ascii="微软雅黑" w:eastAsia="微软雅黑" w:hAnsi="微软雅黑" w:cs="宋体" w:hint="eastAsia"/>
          <w:b/>
          <w:bCs/>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一般情况下，可以从供热企业拿到税率为13%的增值税专用发票；供热企业向居民免征增值税，不能抵扣。</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十五、广告宣传费用</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广告宣传费用，进项抵扣税率为</w:t>
      </w:r>
      <w:r w:rsidRPr="00F1197F">
        <w:rPr>
          <w:rFonts w:ascii="微软雅黑" w:eastAsia="微软雅黑" w:hAnsi="微软雅黑" w:cs="宋体" w:hint="eastAsia"/>
          <w:b/>
          <w:bCs/>
          <w:color w:val="FF2941"/>
          <w:kern w:val="0"/>
          <w:sz w:val="24"/>
          <w:szCs w:val="24"/>
        </w:rPr>
        <w:t>6%</w:t>
      </w:r>
      <w:r w:rsidRPr="00F1197F">
        <w:rPr>
          <w:rFonts w:ascii="微软雅黑" w:eastAsia="微软雅黑" w:hAnsi="微软雅黑" w:cs="宋体" w:hint="eastAsia"/>
          <w:b/>
          <w:bCs/>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公司支付的广告费、宣传费等可以抵扣进项税。</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十六、中介机构服务费</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中介机构服务费，进项抵扣税率为</w:t>
      </w:r>
      <w:r w:rsidRPr="00F1197F">
        <w:rPr>
          <w:rFonts w:ascii="微软雅黑" w:eastAsia="微软雅黑" w:hAnsi="微软雅黑" w:cs="宋体" w:hint="eastAsia"/>
          <w:b/>
          <w:bCs/>
          <w:color w:val="FF2941"/>
          <w:kern w:val="0"/>
          <w:sz w:val="24"/>
          <w:szCs w:val="24"/>
        </w:rPr>
        <w:t>6%</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聘请专业的咨询、审计等中介机构的咨询费用都可以抵扣进项，注意要选择一般纳税人。</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十七、会议费</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会议费，进项抵扣税率为</w:t>
      </w:r>
      <w:r w:rsidRPr="00F1197F">
        <w:rPr>
          <w:rFonts w:ascii="微软雅黑" w:eastAsia="微软雅黑" w:hAnsi="微软雅黑" w:cs="宋体" w:hint="eastAsia"/>
          <w:b/>
          <w:bCs/>
          <w:color w:val="FF2941"/>
          <w:kern w:val="0"/>
          <w:sz w:val="24"/>
          <w:szCs w:val="24"/>
        </w:rPr>
        <w:t>6%</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公司召开大型会议，应索取会议费增值税专用发票，如果分项列示服务，单独开具餐费的发票，餐费的进项税不能抵扣。</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十八、培训费</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培训费，进项抵扣税率为</w:t>
      </w:r>
      <w:r w:rsidRPr="00F1197F">
        <w:rPr>
          <w:rFonts w:ascii="微软雅黑" w:eastAsia="微软雅黑" w:hAnsi="微软雅黑" w:cs="宋体" w:hint="eastAsia"/>
          <w:b/>
          <w:bCs/>
          <w:color w:val="FF2941"/>
          <w:kern w:val="0"/>
          <w:sz w:val="24"/>
          <w:szCs w:val="24"/>
        </w:rPr>
        <w:t>6%</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lastRenderedPageBreak/>
        <w:t>公司的培训支出，要向培训单位索要增值税专用发票。</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十九、办公用品</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办公用品，进项抵扣税率为</w:t>
      </w:r>
      <w:r w:rsidRPr="00F1197F">
        <w:rPr>
          <w:rFonts w:ascii="微软雅黑" w:eastAsia="微软雅黑" w:hAnsi="微软雅黑" w:cs="宋体" w:hint="eastAsia"/>
          <w:b/>
          <w:bCs/>
          <w:color w:val="FF2941"/>
          <w:kern w:val="0"/>
          <w:sz w:val="24"/>
          <w:szCs w:val="24"/>
        </w:rPr>
        <w:t>17%</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企业的办公用品支出，也是成本费用中比较经常发生的，如果是从其他个人处购买，无法取得增值税专用发票，从商场、超市或电商平台购买，能取得增值税专用发票。</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二十、劳动保护费用</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劳动保护费，进项抵扣税率为</w:t>
      </w:r>
      <w:r w:rsidRPr="00F1197F">
        <w:rPr>
          <w:rFonts w:ascii="微软雅黑" w:eastAsia="微软雅黑" w:hAnsi="微软雅黑" w:cs="宋体" w:hint="eastAsia"/>
          <w:b/>
          <w:bCs/>
          <w:color w:val="FF2941"/>
          <w:kern w:val="0"/>
          <w:sz w:val="24"/>
          <w:szCs w:val="24"/>
        </w:rPr>
        <w:t>17%</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公司根据劳动法和国家有关劳动安全规程，用于改善公司生产人员劳动条件、防止伤亡事故、预防和消灭职业病等各种技术、保健措施方面开支的费用，例如给员工购买个人防护用具，安全用品等用品，进项税可以抵扣。但要与福利费进行区别，</w:t>
      </w:r>
      <w:r w:rsidRPr="00F1197F">
        <w:rPr>
          <w:rFonts w:ascii="微软雅黑" w:eastAsia="微软雅黑" w:hAnsi="微软雅黑" w:cs="宋体" w:hint="eastAsia"/>
          <w:b/>
          <w:bCs/>
          <w:color w:val="3E3E3E"/>
          <w:kern w:val="0"/>
          <w:sz w:val="24"/>
          <w:szCs w:val="24"/>
        </w:rPr>
        <w:t>如果是福利费就不得抵扣</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二十一、物业费</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物业费，进项抵扣税率为</w:t>
      </w:r>
      <w:r w:rsidRPr="00F1197F">
        <w:rPr>
          <w:rFonts w:ascii="微软雅黑" w:eastAsia="微软雅黑" w:hAnsi="微软雅黑" w:cs="宋体" w:hint="eastAsia"/>
          <w:b/>
          <w:bCs/>
          <w:color w:val="FF2941"/>
          <w:kern w:val="0"/>
          <w:sz w:val="24"/>
          <w:szCs w:val="24"/>
        </w:rPr>
        <w:t>6%</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物业费可以索要增值税专用发票抵扣，但必须是公司实际发生的。</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二十二、绿化费</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绿化费，进项抵扣税率为</w:t>
      </w:r>
      <w:r w:rsidRPr="00F1197F">
        <w:rPr>
          <w:rFonts w:ascii="微软雅黑" w:eastAsia="微软雅黑" w:hAnsi="微软雅黑" w:cs="宋体" w:hint="eastAsia"/>
          <w:b/>
          <w:bCs/>
          <w:color w:val="FF2941"/>
          <w:kern w:val="0"/>
          <w:sz w:val="24"/>
          <w:szCs w:val="24"/>
        </w:rPr>
        <w:t>17%、13%</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为了美化办公环境，自行购买绿色植物，适用税率13%；如果是租用绿植的，适用税率为17%。</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二十三、房屋建筑费</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房屋建筑物，进项抵扣税率为</w:t>
      </w:r>
      <w:r w:rsidRPr="00F1197F">
        <w:rPr>
          <w:rFonts w:ascii="微软雅黑" w:eastAsia="微软雅黑" w:hAnsi="微软雅黑" w:cs="宋体" w:hint="eastAsia"/>
          <w:b/>
          <w:bCs/>
          <w:color w:val="FF2941"/>
          <w:kern w:val="0"/>
          <w:sz w:val="24"/>
          <w:szCs w:val="24"/>
        </w:rPr>
        <w:t>11%、5%</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lastRenderedPageBreak/>
        <w:t>取得不动产，要区分对方不动产取得时间。在2016年5月1日之后取得的，适用税率为11%，公司可分两年抵扣，第一年抵扣60%，第二年抵扣40%；在2016年5月1日之前取得的，可以选择简易计税方法，适用5%的征收率。</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租赁不动产，要区分对方不动产取得的时间，在2016年5月1日之后取得的，适用税率为11%；在2016年5月1日之前取得的，可以选择简易计税方法，适用5%的征收率。</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二十四、利息支出及贷款费用</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利息支出及贷款费用，进项抵扣税率为</w:t>
      </w:r>
      <w:r w:rsidRPr="00F1197F">
        <w:rPr>
          <w:rFonts w:ascii="微软雅黑" w:eastAsia="微软雅黑" w:hAnsi="微软雅黑" w:cs="宋体" w:hint="eastAsia"/>
          <w:b/>
          <w:bCs/>
          <w:color w:val="FF2941"/>
          <w:kern w:val="0"/>
          <w:sz w:val="24"/>
          <w:szCs w:val="24"/>
        </w:rPr>
        <w:t>6%</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before="75"/>
        <w:jc w:val="left"/>
        <w:rPr>
          <w:rFonts w:ascii="微软雅黑" w:eastAsia="微软雅黑" w:hAnsi="微软雅黑" w:cs="宋体" w:hint="eastAsia"/>
          <w:color w:val="3E3E3E"/>
          <w:kern w:val="0"/>
          <w:sz w:val="24"/>
          <w:szCs w:val="24"/>
        </w:rPr>
      </w:pPr>
      <w:r w:rsidRPr="00F1197F">
        <w:rPr>
          <w:rFonts w:ascii="微软雅黑" w:eastAsia="微软雅黑" w:hAnsi="微软雅黑" w:cs="宋体" w:hint="eastAsia"/>
          <w:color w:val="3E3E3E"/>
          <w:kern w:val="0"/>
          <w:sz w:val="24"/>
          <w:szCs w:val="24"/>
        </w:rPr>
        <w:t>贷款的利息支出，不能抵扣，与之相关的手续费、咨询费和顾问费都不允许抵扣。</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二十五、银行手续费</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银行手续费，进项抵扣税率为</w:t>
      </w:r>
      <w:r w:rsidRPr="00F1197F">
        <w:rPr>
          <w:rFonts w:ascii="微软雅黑" w:eastAsia="微软雅黑" w:hAnsi="微软雅黑" w:cs="宋体" w:hint="eastAsia"/>
          <w:b/>
          <w:bCs/>
          <w:color w:val="FF2941"/>
          <w:kern w:val="0"/>
          <w:sz w:val="24"/>
          <w:szCs w:val="24"/>
        </w:rPr>
        <w:t>6%</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办理转账，汇款时发生的手续费都可以抵扣，要向银行索取增值税专用发票。</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二十六、保险费</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1、劳动保险费进项抵扣税率为</w:t>
      </w:r>
      <w:r w:rsidRPr="00F1197F">
        <w:rPr>
          <w:rFonts w:ascii="微软雅黑" w:eastAsia="微软雅黑" w:hAnsi="微软雅黑" w:cs="宋体" w:hint="eastAsia"/>
          <w:b/>
          <w:bCs/>
          <w:color w:val="FF2941"/>
          <w:kern w:val="0"/>
          <w:sz w:val="24"/>
          <w:szCs w:val="24"/>
        </w:rPr>
        <w:t>6%、3%</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应取得税率6%（一般纳税人处取得）的增值税专用发票，进行进项税额抵扣。备注：人身保险除特殊工种职工支付的人身保险费外，暂不可抵扣。</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2、车辆保险和不动产保险进项抵扣税率为</w:t>
      </w:r>
      <w:r w:rsidRPr="00F1197F">
        <w:rPr>
          <w:rFonts w:ascii="微软雅黑" w:eastAsia="微软雅黑" w:hAnsi="微软雅黑" w:cs="宋体" w:hint="eastAsia"/>
          <w:b/>
          <w:bCs/>
          <w:color w:val="FF2941"/>
          <w:kern w:val="0"/>
          <w:sz w:val="24"/>
          <w:szCs w:val="24"/>
        </w:rPr>
        <w:t>6%、3%</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t>应取得税率6%（一般纳税人处取得）或3%（小规模纳税人处取得）的增值税专用发票，进行进项税额抵扣。</w:t>
      </w:r>
    </w:p>
    <w:p w:rsidR="00F1197F" w:rsidRPr="00F1197F" w:rsidRDefault="00F1197F" w:rsidP="00F1197F">
      <w:pPr>
        <w:widowControl/>
        <w:shd w:val="clear" w:color="auto" w:fill="EF4277"/>
        <w:spacing w:line="480" w:lineRule="atLeast"/>
        <w:jc w:val="center"/>
        <w:textAlignment w:val="top"/>
        <w:rPr>
          <w:rFonts w:ascii="微软雅黑" w:eastAsia="微软雅黑" w:hAnsi="微软雅黑" w:cs="宋体" w:hint="eastAsia"/>
          <w:color w:val="FFFFFF"/>
          <w:kern w:val="0"/>
          <w:sz w:val="24"/>
          <w:szCs w:val="24"/>
        </w:rPr>
      </w:pPr>
      <w:r w:rsidRPr="00F1197F">
        <w:rPr>
          <w:rFonts w:ascii="微软雅黑" w:eastAsia="微软雅黑" w:hAnsi="微软雅黑" w:cs="宋体" w:hint="eastAsia"/>
          <w:color w:val="FFFFFF"/>
          <w:kern w:val="0"/>
          <w:sz w:val="24"/>
          <w:szCs w:val="24"/>
        </w:rPr>
        <w:t>二十七、维修费</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3E3E3E"/>
          <w:kern w:val="0"/>
          <w:sz w:val="24"/>
          <w:szCs w:val="24"/>
        </w:rPr>
        <w:t>维修费，进项抵扣税率为</w:t>
      </w:r>
      <w:r w:rsidRPr="00F1197F">
        <w:rPr>
          <w:rFonts w:ascii="微软雅黑" w:eastAsia="微软雅黑" w:hAnsi="微软雅黑" w:cs="宋体" w:hint="eastAsia"/>
          <w:b/>
          <w:bCs/>
          <w:color w:val="FF2941"/>
          <w:kern w:val="0"/>
          <w:sz w:val="24"/>
          <w:szCs w:val="24"/>
        </w:rPr>
        <w:t>17%、11%</w:t>
      </w:r>
      <w:r w:rsidRPr="00F1197F">
        <w:rPr>
          <w:rFonts w:ascii="微软雅黑" w:eastAsia="微软雅黑" w:hAnsi="微软雅黑" w:cs="宋体" w:hint="eastAsia"/>
          <w:color w:val="3E3E3E"/>
          <w:kern w:val="0"/>
          <w:sz w:val="24"/>
          <w:szCs w:val="24"/>
        </w:rPr>
        <w:t>。</w:t>
      </w:r>
    </w:p>
    <w:p w:rsidR="00F1197F" w:rsidRPr="00F1197F" w:rsidRDefault="00F1197F" w:rsidP="00F1197F">
      <w:pPr>
        <w:widowControl/>
        <w:shd w:val="clear" w:color="auto" w:fill="FFFFFF"/>
        <w:spacing w:line="450" w:lineRule="atLeas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3E3E3E"/>
          <w:kern w:val="0"/>
          <w:sz w:val="24"/>
          <w:szCs w:val="24"/>
        </w:rPr>
        <w:lastRenderedPageBreak/>
        <w:t>修理费用于有形动产的修理费用，如汽车修理费、机械设备的修理费为17%；而对于不动产的修理费税率是11%。</w:t>
      </w:r>
    </w:p>
    <w:p w:rsidR="00F1197F" w:rsidRPr="00F1197F" w:rsidRDefault="00F1197F" w:rsidP="00F1197F">
      <w:pPr>
        <w:widowControl/>
        <w:shd w:val="clear" w:color="auto" w:fill="FFFFFF"/>
        <w:jc w:val="left"/>
        <w:rPr>
          <w:rFonts w:ascii="微软雅黑" w:eastAsia="微软雅黑" w:hAnsi="微软雅黑" w:cs="宋体" w:hint="eastAsia"/>
          <w:color w:val="3E3E3E"/>
          <w:kern w:val="0"/>
          <w:szCs w:val="21"/>
        </w:rPr>
      </w:pPr>
      <w:r w:rsidRPr="00F1197F">
        <w:rPr>
          <w:rFonts w:ascii="微软雅黑" w:eastAsia="微软雅黑" w:hAnsi="微软雅黑" w:cs="宋体" w:hint="eastAsia"/>
          <w:color w:val="FF2941"/>
          <w:kern w:val="0"/>
          <w:szCs w:val="21"/>
        </w:rPr>
        <w:t>“</w:t>
      </w:r>
      <w:r w:rsidRPr="00F1197F">
        <w:rPr>
          <w:rFonts w:ascii="微软雅黑" w:eastAsia="微软雅黑" w:hAnsi="微软雅黑" w:cs="宋体" w:hint="eastAsia"/>
          <w:b/>
          <w:bCs/>
          <w:color w:val="FF2941"/>
          <w:kern w:val="0"/>
        </w:rPr>
        <w:t>营改增”各行业税率及征收率一览表</w:t>
      </w:r>
    </w:p>
    <w:p w:rsidR="00F1197F" w:rsidRPr="00F1197F" w:rsidRDefault="00F1197F" w:rsidP="00F1197F">
      <w:pPr>
        <w:widowControl/>
        <w:shd w:val="clear" w:color="auto" w:fill="FFFFFF"/>
        <w:jc w:val="left"/>
        <w:rPr>
          <w:rFonts w:ascii="微软雅黑" w:eastAsia="微软雅黑" w:hAnsi="微软雅黑" w:cs="宋体" w:hint="eastAsia"/>
          <w:color w:val="3E3E3E"/>
          <w:kern w:val="0"/>
          <w:szCs w:val="21"/>
        </w:rPr>
      </w:pPr>
      <w:r w:rsidRPr="00F1197F">
        <w:rPr>
          <w:rFonts w:ascii="微软雅黑" w:eastAsia="微软雅黑" w:hAnsi="微软雅黑" w:cs="宋体" w:hint="eastAsia"/>
          <w:b/>
          <w:bCs/>
          <w:color w:val="FFFFFF"/>
          <w:kern w:val="0"/>
          <w:sz w:val="24"/>
          <w:szCs w:val="24"/>
          <w:shd w:val="clear" w:color="auto" w:fill="D82821"/>
        </w:rPr>
        <w:t>一、税率</w:t>
      </w:r>
    </w:p>
    <w:p w:rsidR="00F1197F" w:rsidRPr="00F1197F" w:rsidRDefault="00F1197F" w:rsidP="00F1197F">
      <w:pPr>
        <w:widowControl/>
        <w:shd w:val="clear" w:color="auto" w:fill="FFFFFF"/>
        <w:spacing w:line="420" w:lineRule="atLeast"/>
        <w:jc w:val="left"/>
        <w:rPr>
          <w:rFonts w:ascii="宋体" w:eastAsia="宋体" w:hAnsi="宋体" w:cs="宋体" w:hint="eastAsia"/>
          <w:color w:val="3E3E3E"/>
          <w:kern w:val="0"/>
          <w:sz w:val="24"/>
          <w:szCs w:val="24"/>
        </w:rPr>
      </w:pPr>
      <w:r w:rsidRPr="00F1197F">
        <w:rPr>
          <w:rFonts w:ascii="宋体" w:eastAsia="宋体" w:hAnsi="宋体" w:cs="宋体"/>
          <w:b/>
          <w:bCs/>
          <w:color w:val="3E3E3E"/>
          <w:kern w:val="0"/>
          <w:sz w:val="24"/>
          <w:szCs w:val="24"/>
        </w:rPr>
        <w:t>税率（5种）：</w:t>
      </w:r>
      <w:r w:rsidRPr="00F1197F">
        <w:rPr>
          <w:rFonts w:ascii="宋体" w:eastAsia="宋体" w:hAnsi="宋体" w:cs="宋体"/>
          <w:b/>
          <w:bCs/>
          <w:color w:val="FF2941"/>
          <w:kern w:val="0"/>
          <w:sz w:val="24"/>
          <w:szCs w:val="24"/>
        </w:rPr>
        <w:t>17%；13%；11%；6%；0%</w:t>
      </w:r>
      <w:r w:rsidRPr="00F1197F">
        <w:rPr>
          <w:rFonts w:ascii="宋体" w:eastAsia="宋体" w:hAnsi="宋体" w:cs="宋体"/>
          <w:b/>
          <w:bCs/>
          <w:color w:val="3E3E3E"/>
          <w:kern w:val="0"/>
          <w:sz w:val="24"/>
          <w:szCs w:val="24"/>
        </w:rPr>
        <w:t>。</w:t>
      </w:r>
    </w:p>
    <w:p w:rsidR="00F1197F" w:rsidRPr="00F1197F" w:rsidRDefault="00F1197F" w:rsidP="00F1197F">
      <w:pPr>
        <w:widowControl/>
        <w:pBdr>
          <w:bottom w:val="single" w:sz="12" w:space="5" w:color="EF7060"/>
        </w:pBdr>
        <w:shd w:val="clear" w:color="auto" w:fill="FFFFFF"/>
        <w:spacing w:line="300" w:lineRule="atLeast"/>
        <w:jc w:val="left"/>
        <w:outlineLvl w:val="1"/>
        <w:rPr>
          <w:rFonts w:ascii="微软雅黑" w:eastAsia="微软雅黑" w:hAnsi="微软雅黑" w:cs="宋体"/>
          <w:color w:val="3E3E3E"/>
          <w:kern w:val="0"/>
          <w:sz w:val="24"/>
          <w:szCs w:val="24"/>
        </w:rPr>
      </w:pPr>
      <w:r w:rsidRPr="00F1197F">
        <w:rPr>
          <w:rFonts w:ascii="微软雅黑" w:eastAsia="微软雅黑" w:hAnsi="微软雅黑" w:cs="宋体" w:hint="eastAsia"/>
          <w:b/>
          <w:bCs/>
          <w:color w:val="3E3E3E"/>
          <w:kern w:val="0"/>
          <w:sz w:val="24"/>
        </w:rPr>
        <w:t>1、税率17%</w:t>
      </w:r>
    </w:p>
    <w:p w:rsidR="00F1197F" w:rsidRPr="00F1197F" w:rsidRDefault="00F1197F" w:rsidP="00F1197F">
      <w:pPr>
        <w:widowControl/>
        <w:shd w:val="clear" w:color="auto" w:fill="FFFFFF"/>
        <w:spacing w:before="75" w:after="150" w:line="420" w:lineRule="atLeast"/>
        <w:jc w:val="left"/>
        <w:rPr>
          <w:rFonts w:ascii="宋体" w:eastAsia="宋体" w:hAnsi="宋体" w:cs="宋体" w:hint="eastAsia"/>
          <w:color w:val="3E3E3E"/>
          <w:kern w:val="0"/>
          <w:sz w:val="24"/>
          <w:szCs w:val="24"/>
        </w:rPr>
      </w:pPr>
      <w:r w:rsidRPr="00F1197F">
        <w:rPr>
          <w:rFonts w:ascii="宋体" w:eastAsia="宋体" w:hAnsi="宋体" w:cs="宋体"/>
          <w:color w:val="3E3E3E"/>
          <w:kern w:val="0"/>
          <w:sz w:val="24"/>
          <w:szCs w:val="24"/>
        </w:rPr>
        <w:t>1）提供加工、修理、修配劳务；</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2）销售或进口货物（除适用13%的货物外）；</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3）提供有形动产租赁服务。</w:t>
      </w:r>
    </w:p>
    <w:p w:rsidR="00F1197F" w:rsidRPr="00F1197F" w:rsidRDefault="00F1197F" w:rsidP="00F1197F">
      <w:pPr>
        <w:widowControl/>
        <w:pBdr>
          <w:bottom w:val="single" w:sz="12" w:space="5" w:color="EF7060"/>
        </w:pBdr>
        <w:shd w:val="clear" w:color="auto" w:fill="FFFFFF"/>
        <w:spacing w:line="300" w:lineRule="atLeast"/>
        <w:jc w:val="left"/>
        <w:outlineLvl w:val="1"/>
        <w:rPr>
          <w:rFonts w:ascii="微软雅黑" w:eastAsia="微软雅黑" w:hAnsi="微软雅黑" w:cs="宋体"/>
          <w:color w:val="3E3E3E"/>
          <w:kern w:val="0"/>
          <w:sz w:val="24"/>
          <w:szCs w:val="24"/>
        </w:rPr>
      </w:pPr>
      <w:r w:rsidRPr="00F1197F">
        <w:rPr>
          <w:rFonts w:ascii="微软雅黑" w:eastAsia="微软雅黑" w:hAnsi="微软雅黑" w:cs="宋体" w:hint="eastAsia"/>
          <w:b/>
          <w:bCs/>
          <w:color w:val="3E3E3E"/>
          <w:kern w:val="0"/>
          <w:sz w:val="24"/>
        </w:rPr>
        <w:t>2、税率13%</w:t>
      </w:r>
    </w:p>
    <w:p w:rsidR="00F1197F" w:rsidRPr="00F1197F" w:rsidRDefault="00F1197F" w:rsidP="00F1197F">
      <w:pPr>
        <w:widowControl/>
        <w:shd w:val="clear" w:color="auto" w:fill="FFFFFF"/>
        <w:spacing w:before="75" w:after="150" w:line="420" w:lineRule="atLeast"/>
        <w:jc w:val="left"/>
        <w:rPr>
          <w:rFonts w:ascii="宋体" w:eastAsia="宋体" w:hAnsi="宋体" w:cs="宋体" w:hint="eastAsia"/>
          <w:color w:val="3E3E3E"/>
          <w:kern w:val="0"/>
          <w:sz w:val="24"/>
          <w:szCs w:val="24"/>
        </w:rPr>
      </w:pPr>
      <w:r w:rsidRPr="00F1197F">
        <w:rPr>
          <w:rFonts w:ascii="宋体" w:eastAsia="宋体" w:hAnsi="宋体" w:cs="宋体"/>
          <w:color w:val="3E3E3E"/>
          <w:kern w:val="0"/>
          <w:sz w:val="24"/>
          <w:szCs w:val="24"/>
        </w:rPr>
        <w:t>1）自来水、暖气、冷气、热气、煤气、石油液化气、天然气、沼气、居民用煤炭制品；</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2）粮食、食用植物油；</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3）国务院规定的其他货物；</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4）饲料、化肥、农药、农机、农膜、农业产品。</w:t>
      </w:r>
    </w:p>
    <w:p w:rsidR="00F1197F" w:rsidRPr="00F1197F" w:rsidRDefault="00F1197F" w:rsidP="00F1197F">
      <w:pPr>
        <w:widowControl/>
        <w:pBdr>
          <w:bottom w:val="single" w:sz="12" w:space="5" w:color="EF7060"/>
        </w:pBdr>
        <w:shd w:val="clear" w:color="auto" w:fill="FFFFFF"/>
        <w:spacing w:line="300" w:lineRule="atLeast"/>
        <w:jc w:val="left"/>
        <w:outlineLvl w:val="1"/>
        <w:rPr>
          <w:rFonts w:ascii="微软雅黑" w:eastAsia="微软雅黑" w:hAnsi="微软雅黑" w:cs="宋体"/>
          <w:color w:val="3E3E3E"/>
          <w:kern w:val="0"/>
          <w:sz w:val="24"/>
          <w:szCs w:val="24"/>
        </w:rPr>
      </w:pPr>
      <w:r w:rsidRPr="00F1197F">
        <w:rPr>
          <w:rFonts w:ascii="微软雅黑" w:eastAsia="微软雅黑" w:hAnsi="微软雅黑" w:cs="宋体" w:hint="eastAsia"/>
          <w:b/>
          <w:bCs/>
          <w:color w:val="3E3E3E"/>
          <w:kern w:val="0"/>
          <w:sz w:val="24"/>
        </w:rPr>
        <w:t>3、税率11%</w:t>
      </w:r>
    </w:p>
    <w:p w:rsidR="00F1197F" w:rsidRPr="00F1197F" w:rsidRDefault="00F1197F" w:rsidP="00F1197F">
      <w:pPr>
        <w:widowControl/>
        <w:shd w:val="clear" w:color="auto" w:fill="FFFFFF"/>
        <w:spacing w:before="75" w:after="150" w:line="420" w:lineRule="atLeast"/>
        <w:jc w:val="left"/>
        <w:rPr>
          <w:rFonts w:ascii="宋体" w:eastAsia="宋体" w:hAnsi="宋体" w:cs="宋体" w:hint="eastAsia"/>
          <w:color w:val="3E3E3E"/>
          <w:kern w:val="0"/>
          <w:sz w:val="24"/>
          <w:szCs w:val="24"/>
        </w:rPr>
      </w:pPr>
      <w:r w:rsidRPr="00F1197F">
        <w:rPr>
          <w:rFonts w:ascii="宋体" w:eastAsia="宋体" w:hAnsi="宋体" w:cs="宋体"/>
          <w:color w:val="3E3E3E"/>
          <w:kern w:val="0"/>
          <w:sz w:val="24"/>
          <w:szCs w:val="24"/>
        </w:rPr>
        <w:t>转让土地使用权、销售不动产、提供不动产租赁、提供建筑服务、提供交通运输服务、提供邮政服务、提供基础电信服务。</w:t>
      </w:r>
    </w:p>
    <w:p w:rsidR="00F1197F" w:rsidRPr="00F1197F" w:rsidRDefault="00F1197F" w:rsidP="00F1197F">
      <w:pPr>
        <w:widowControl/>
        <w:pBdr>
          <w:bottom w:val="single" w:sz="12" w:space="5" w:color="EF7060"/>
        </w:pBdr>
        <w:shd w:val="clear" w:color="auto" w:fill="FFFFFF"/>
        <w:spacing w:line="300" w:lineRule="atLeast"/>
        <w:jc w:val="left"/>
        <w:outlineLvl w:val="1"/>
        <w:rPr>
          <w:rFonts w:ascii="微软雅黑" w:eastAsia="微软雅黑" w:hAnsi="微软雅黑" w:cs="宋体"/>
          <w:color w:val="3E3E3E"/>
          <w:kern w:val="0"/>
          <w:sz w:val="24"/>
          <w:szCs w:val="24"/>
        </w:rPr>
      </w:pPr>
      <w:r w:rsidRPr="00F1197F">
        <w:rPr>
          <w:rFonts w:ascii="微软雅黑" w:eastAsia="微软雅黑" w:hAnsi="微软雅黑" w:cs="宋体" w:hint="eastAsia"/>
          <w:b/>
          <w:bCs/>
          <w:color w:val="3E3E3E"/>
          <w:kern w:val="0"/>
          <w:sz w:val="24"/>
        </w:rPr>
        <w:t>4、税率6%</w:t>
      </w:r>
    </w:p>
    <w:p w:rsidR="00F1197F" w:rsidRPr="00F1197F" w:rsidRDefault="00F1197F" w:rsidP="00F1197F">
      <w:pPr>
        <w:widowControl/>
        <w:shd w:val="clear" w:color="auto" w:fill="FFFFFF"/>
        <w:spacing w:before="75" w:after="150" w:line="420" w:lineRule="atLeast"/>
        <w:jc w:val="left"/>
        <w:rPr>
          <w:rFonts w:ascii="宋体" w:eastAsia="宋体" w:hAnsi="宋体" w:cs="宋体" w:hint="eastAsia"/>
          <w:color w:val="3E3E3E"/>
          <w:kern w:val="0"/>
          <w:sz w:val="24"/>
          <w:szCs w:val="24"/>
        </w:rPr>
      </w:pPr>
      <w:r w:rsidRPr="00F1197F">
        <w:rPr>
          <w:rFonts w:ascii="宋体" w:eastAsia="宋体" w:hAnsi="宋体" w:cs="宋体"/>
          <w:color w:val="3E3E3E"/>
          <w:kern w:val="0"/>
          <w:sz w:val="24"/>
          <w:szCs w:val="24"/>
        </w:rPr>
        <w:t>金融服务；增值电信服务；现代服务（租赁服务除外）；</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提供生活服务；销售无形资产；研发和技术服务；</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信息技术服务；文化创意服务；物流辅助服务；</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鉴证咨询服务；广播影视服务；商务辅助服务；</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lastRenderedPageBreak/>
        <w:t>其他现代服务；文化体育服务；教育医疗服务；</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旅游娱乐服务；餐饮住宿服务；居民日常服务；</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其他生活服务。</w:t>
      </w:r>
    </w:p>
    <w:p w:rsidR="00F1197F" w:rsidRPr="00F1197F" w:rsidRDefault="00F1197F" w:rsidP="00F1197F">
      <w:pPr>
        <w:widowControl/>
        <w:pBdr>
          <w:bottom w:val="single" w:sz="12" w:space="5" w:color="EF7060"/>
        </w:pBdr>
        <w:shd w:val="clear" w:color="auto" w:fill="FFFFFF"/>
        <w:spacing w:line="300" w:lineRule="atLeast"/>
        <w:jc w:val="left"/>
        <w:outlineLvl w:val="1"/>
        <w:rPr>
          <w:rFonts w:ascii="微软雅黑" w:eastAsia="微软雅黑" w:hAnsi="微软雅黑" w:cs="宋体"/>
          <w:color w:val="3E3E3E"/>
          <w:kern w:val="0"/>
          <w:sz w:val="24"/>
          <w:szCs w:val="24"/>
        </w:rPr>
      </w:pPr>
      <w:r w:rsidRPr="00F1197F">
        <w:rPr>
          <w:rFonts w:ascii="微软雅黑" w:eastAsia="微软雅黑" w:hAnsi="微软雅黑" w:cs="宋体" w:hint="eastAsia"/>
          <w:b/>
          <w:bCs/>
          <w:color w:val="3E3E3E"/>
          <w:kern w:val="0"/>
          <w:sz w:val="24"/>
        </w:rPr>
        <w:t>5、零税率</w:t>
      </w:r>
    </w:p>
    <w:p w:rsidR="00F1197F" w:rsidRPr="00F1197F" w:rsidRDefault="00F1197F" w:rsidP="00F1197F">
      <w:pPr>
        <w:widowControl/>
        <w:shd w:val="clear" w:color="auto" w:fill="FFFFFF"/>
        <w:spacing w:before="75" w:after="150" w:line="420" w:lineRule="atLeast"/>
        <w:jc w:val="left"/>
        <w:rPr>
          <w:rFonts w:ascii="宋体" w:eastAsia="宋体" w:hAnsi="宋体" w:cs="宋体" w:hint="eastAsia"/>
          <w:color w:val="3E3E3E"/>
          <w:kern w:val="0"/>
          <w:sz w:val="24"/>
          <w:szCs w:val="24"/>
        </w:rPr>
      </w:pPr>
      <w:r w:rsidRPr="00F1197F">
        <w:rPr>
          <w:rFonts w:ascii="宋体" w:eastAsia="宋体" w:hAnsi="宋体" w:cs="宋体"/>
          <w:color w:val="3E3E3E"/>
          <w:kern w:val="0"/>
          <w:sz w:val="24"/>
          <w:szCs w:val="24"/>
        </w:rPr>
        <w:t>1）国际运输服务；航天运输服务；</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2）向境外单位提供的完全在境外消费的相关服务；</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3）财政局和国家税务总局规定的其他服务；</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4）纳税人出口货物（国务院另有规定的除外）。</w:t>
      </w:r>
    </w:p>
    <w:p w:rsidR="00F1197F" w:rsidRPr="00F1197F" w:rsidRDefault="00F1197F" w:rsidP="00F1197F">
      <w:pPr>
        <w:widowControl/>
        <w:shd w:val="clear" w:color="auto" w:fill="FFFFFF"/>
        <w:jc w:val="left"/>
        <w:rPr>
          <w:rFonts w:ascii="微软雅黑" w:eastAsia="微软雅黑" w:hAnsi="微软雅黑" w:cs="宋体"/>
          <w:color w:val="3E3E3E"/>
          <w:kern w:val="0"/>
          <w:szCs w:val="21"/>
        </w:rPr>
      </w:pPr>
      <w:r w:rsidRPr="00F1197F">
        <w:rPr>
          <w:rFonts w:ascii="微软雅黑" w:eastAsia="微软雅黑" w:hAnsi="微软雅黑" w:cs="宋体" w:hint="eastAsia"/>
          <w:b/>
          <w:bCs/>
          <w:color w:val="FFFFFF"/>
          <w:kern w:val="0"/>
          <w:sz w:val="24"/>
          <w:szCs w:val="24"/>
          <w:shd w:val="clear" w:color="auto" w:fill="D82821"/>
        </w:rPr>
        <w:t>二、征收率</w:t>
      </w:r>
    </w:p>
    <w:p w:rsidR="00F1197F" w:rsidRPr="00F1197F" w:rsidRDefault="00F1197F" w:rsidP="00F1197F">
      <w:pPr>
        <w:widowControl/>
        <w:shd w:val="clear" w:color="auto" w:fill="FFFFFF"/>
        <w:spacing w:line="420" w:lineRule="atLeast"/>
        <w:jc w:val="left"/>
        <w:rPr>
          <w:rFonts w:ascii="宋体" w:eastAsia="宋体" w:hAnsi="宋体" w:cs="宋体" w:hint="eastAsia"/>
          <w:color w:val="3E3E3E"/>
          <w:kern w:val="0"/>
          <w:sz w:val="24"/>
          <w:szCs w:val="24"/>
        </w:rPr>
      </w:pPr>
      <w:r w:rsidRPr="00F1197F">
        <w:rPr>
          <w:rFonts w:ascii="宋体" w:eastAsia="宋体" w:hAnsi="宋体" w:cs="宋体"/>
          <w:b/>
          <w:bCs/>
          <w:color w:val="3E3E3E"/>
          <w:kern w:val="0"/>
          <w:sz w:val="24"/>
          <w:szCs w:val="24"/>
        </w:rPr>
        <w:t>征收率（2种）：</w:t>
      </w:r>
      <w:r w:rsidRPr="00F1197F">
        <w:rPr>
          <w:rFonts w:ascii="宋体" w:eastAsia="宋体" w:hAnsi="宋体" w:cs="宋体"/>
          <w:b/>
          <w:bCs/>
          <w:color w:val="FF2941"/>
          <w:kern w:val="0"/>
          <w:sz w:val="24"/>
          <w:szCs w:val="24"/>
        </w:rPr>
        <w:t>3%；5%</w:t>
      </w:r>
      <w:r w:rsidRPr="00F1197F">
        <w:rPr>
          <w:rFonts w:ascii="宋体" w:eastAsia="宋体" w:hAnsi="宋体" w:cs="宋体"/>
          <w:b/>
          <w:bCs/>
          <w:color w:val="3E3E3E"/>
          <w:kern w:val="0"/>
          <w:sz w:val="24"/>
          <w:szCs w:val="24"/>
        </w:rPr>
        <w:t>。</w:t>
      </w:r>
    </w:p>
    <w:p w:rsidR="00F1197F" w:rsidRPr="00F1197F" w:rsidRDefault="00F1197F" w:rsidP="00F1197F">
      <w:pPr>
        <w:widowControl/>
        <w:pBdr>
          <w:bottom w:val="single" w:sz="12" w:space="5" w:color="EF7060"/>
        </w:pBdr>
        <w:shd w:val="clear" w:color="auto" w:fill="FFFFFF"/>
        <w:spacing w:line="300" w:lineRule="atLeast"/>
        <w:jc w:val="left"/>
        <w:outlineLvl w:val="1"/>
        <w:rPr>
          <w:rFonts w:ascii="微软雅黑" w:eastAsia="微软雅黑" w:hAnsi="微软雅黑" w:cs="宋体"/>
          <w:color w:val="3E3E3E"/>
          <w:kern w:val="0"/>
          <w:sz w:val="24"/>
          <w:szCs w:val="24"/>
        </w:rPr>
      </w:pPr>
      <w:r w:rsidRPr="00F1197F">
        <w:rPr>
          <w:rFonts w:ascii="微软雅黑" w:eastAsia="微软雅黑" w:hAnsi="微软雅黑" w:cs="宋体" w:hint="eastAsia"/>
          <w:b/>
          <w:bCs/>
          <w:color w:val="3E3E3E"/>
          <w:kern w:val="0"/>
          <w:sz w:val="24"/>
        </w:rPr>
        <w:t>1、税率3%</w:t>
      </w:r>
    </w:p>
    <w:p w:rsidR="00F1197F" w:rsidRPr="00F1197F" w:rsidRDefault="00F1197F" w:rsidP="00F1197F">
      <w:pPr>
        <w:widowControl/>
        <w:shd w:val="clear" w:color="auto" w:fill="FFFFFF"/>
        <w:spacing w:before="75" w:after="150" w:line="420" w:lineRule="atLeast"/>
        <w:jc w:val="left"/>
        <w:rPr>
          <w:rFonts w:ascii="宋体" w:eastAsia="宋体" w:hAnsi="宋体" w:cs="宋体" w:hint="eastAsia"/>
          <w:color w:val="3E3E3E"/>
          <w:kern w:val="0"/>
          <w:sz w:val="24"/>
          <w:szCs w:val="24"/>
        </w:rPr>
      </w:pPr>
      <w:r w:rsidRPr="00F1197F">
        <w:rPr>
          <w:rFonts w:ascii="宋体" w:eastAsia="宋体" w:hAnsi="宋体" w:cs="宋体"/>
          <w:color w:val="3E3E3E"/>
          <w:kern w:val="0"/>
          <w:sz w:val="24"/>
          <w:szCs w:val="24"/>
        </w:rPr>
        <w:t>增值税征收率统一为3%（财政部和国家税务总局另有规定的除外）建筑业老项目简易征收率为3%；小规模纳税人增值税征收率为3%。</w:t>
      </w:r>
    </w:p>
    <w:p w:rsidR="00F1197F" w:rsidRPr="00F1197F" w:rsidRDefault="00F1197F" w:rsidP="00F1197F">
      <w:pPr>
        <w:widowControl/>
        <w:pBdr>
          <w:bottom w:val="single" w:sz="12" w:space="5" w:color="EF7060"/>
        </w:pBdr>
        <w:shd w:val="clear" w:color="auto" w:fill="FFFFFF"/>
        <w:spacing w:line="300" w:lineRule="atLeast"/>
        <w:jc w:val="left"/>
        <w:outlineLvl w:val="1"/>
        <w:rPr>
          <w:rFonts w:ascii="微软雅黑" w:eastAsia="微软雅黑" w:hAnsi="微软雅黑" w:cs="宋体"/>
          <w:color w:val="3E3E3E"/>
          <w:kern w:val="0"/>
          <w:sz w:val="24"/>
          <w:szCs w:val="24"/>
        </w:rPr>
      </w:pPr>
      <w:r w:rsidRPr="00F1197F">
        <w:rPr>
          <w:rFonts w:ascii="微软雅黑" w:eastAsia="微软雅黑" w:hAnsi="微软雅黑" w:cs="宋体" w:hint="eastAsia"/>
          <w:b/>
          <w:bCs/>
          <w:color w:val="3E3E3E"/>
          <w:kern w:val="0"/>
          <w:sz w:val="24"/>
        </w:rPr>
        <w:t>2、税率5%</w:t>
      </w:r>
    </w:p>
    <w:p w:rsidR="00F1197F" w:rsidRPr="00F1197F" w:rsidRDefault="00F1197F" w:rsidP="00F1197F">
      <w:pPr>
        <w:widowControl/>
        <w:shd w:val="clear" w:color="auto" w:fill="FFFFFF"/>
        <w:spacing w:line="420" w:lineRule="atLeast"/>
        <w:jc w:val="left"/>
        <w:rPr>
          <w:rFonts w:ascii="宋体" w:eastAsia="宋体" w:hAnsi="宋体" w:cs="宋体" w:hint="eastAsia"/>
          <w:color w:val="3E3E3E"/>
          <w:kern w:val="0"/>
          <w:sz w:val="24"/>
          <w:szCs w:val="24"/>
        </w:rPr>
      </w:pPr>
      <w:r w:rsidRPr="00F1197F">
        <w:rPr>
          <w:rFonts w:ascii="宋体" w:eastAsia="宋体" w:hAnsi="宋体" w:cs="宋体"/>
          <w:b/>
          <w:bCs/>
          <w:color w:val="3E3E3E"/>
          <w:kern w:val="0"/>
          <w:sz w:val="24"/>
          <w:szCs w:val="24"/>
        </w:rPr>
        <w:t>1）销售不动产：</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①一般纳税人销售其 2016 年 4 月 30 日前取得的不动产，可以选择适用简易计税方法，按照 5% 的征收率计算应纳税额。</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②小规模纳税人销售其取得的不动产（不含个体工商户销售购买的住房和其他个人销售不动产），按照 5% 的征收率计算应纳税额。</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③房地产开发企业中的一般纳税人，销售自行开发的房地产老项目，可以选择适用简易计税方法的按照 5% 的征收率计税。</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④房地产开发企业中的小规模纳税人，销售自行开发的房地产项目，按照 5% 的征收率计算应纳税额。</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⑤其他个人销售其取得（不含自建）的不动产（不含其购买的住房），按照 5% 的征收率计算应纳税额。</w:t>
      </w:r>
    </w:p>
    <w:p w:rsidR="00F1197F" w:rsidRPr="00F1197F" w:rsidRDefault="00F1197F" w:rsidP="00F1197F">
      <w:pPr>
        <w:widowControl/>
        <w:shd w:val="clear" w:color="auto" w:fill="FFFFFF"/>
        <w:spacing w:line="420" w:lineRule="atLeast"/>
        <w:jc w:val="left"/>
        <w:rPr>
          <w:rFonts w:ascii="宋体" w:eastAsia="宋体" w:hAnsi="宋体" w:cs="宋体"/>
          <w:color w:val="3E3E3E"/>
          <w:kern w:val="0"/>
          <w:sz w:val="24"/>
          <w:szCs w:val="24"/>
        </w:rPr>
      </w:pPr>
      <w:r w:rsidRPr="00F1197F">
        <w:rPr>
          <w:rFonts w:ascii="宋体" w:eastAsia="宋体" w:hAnsi="宋体" w:cs="宋体"/>
          <w:b/>
          <w:bCs/>
          <w:color w:val="3E3E3E"/>
          <w:kern w:val="0"/>
          <w:sz w:val="24"/>
          <w:szCs w:val="24"/>
        </w:rPr>
        <w:lastRenderedPageBreak/>
        <w:t>2）不动产经营租赁服务：</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①一般纳税人出租其 2016 年 4 月 30日前取得的不动产，可以选择适用简易计税方法，按照 5% 的征收率计算应纳税额。</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②小规模纳税人出租其取得的不动产（不含个人出租住房），应按照 5% 的征收率计算应纳税额。</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③其他个人出租其取得的不动产（不含住房），应按照 5% 的征收率计算应纳税额。</w:t>
      </w:r>
    </w:p>
    <w:p w:rsidR="00F1197F" w:rsidRPr="00F1197F" w:rsidRDefault="00F1197F" w:rsidP="00F1197F">
      <w:pPr>
        <w:widowControl/>
        <w:shd w:val="clear" w:color="auto" w:fill="FFFFFF"/>
        <w:spacing w:before="75" w:after="150" w:line="420" w:lineRule="atLeast"/>
        <w:jc w:val="left"/>
        <w:rPr>
          <w:rFonts w:ascii="宋体" w:eastAsia="宋体" w:hAnsi="宋体" w:cs="宋体"/>
          <w:color w:val="3E3E3E"/>
          <w:kern w:val="0"/>
          <w:sz w:val="24"/>
          <w:szCs w:val="24"/>
        </w:rPr>
      </w:pPr>
      <w:r w:rsidRPr="00F1197F">
        <w:rPr>
          <w:rFonts w:ascii="宋体" w:eastAsia="宋体" w:hAnsi="宋体" w:cs="宋体"/>
          <w:color w:val="3E3E3E"/>
          <w:kern w:val="0"/>
          <w:sz w:val="24"/>
          <w:szCs w:val="24"/>
        </w:rPr>
        <w:t>④个人出租住房，应按照 5% 的征收率减按 1.5% 计算应纳税额。</w:t>
      </w:r>
    </w:p>
    <w:p w:rsidR="00F1197F" w:rsidRPr="00F1197F" w:rsidRDefault="00F1197F" w:rsidP="00F1197F">
      <w:pPr>
        <w:widowControl/>
        <w:shd w:val="clear" w:color="auto" w:fill="FFFFFF"/>
        <w:spacing w:line="420" w:lineRule="atLeast"/>
        <w:jc w:val="left"/>
        <w:rPr>
          <w:rFonts w:ascii="宋体" w:eastAsia="宋体" w:hAnsi="宋体" w:cs="宋体"/>
          <w:color w:val="3E3E3E"/>
          <w:kern w:val="0"/>
          <w:sz w:val="24"/>
          <w:szCs w:val="24"/>
        </w:rPr>
      </w:pPr>
      <w:r w:rsidRPr="00F1197F">
        <w:rPr>
          <w:rFonts w:ascii="宋体" w:eastAsia="宋体" w:hAnsi="宋体" w:cs="宋体"/>
          <w:b/>
          <w:bCs/>
          <w:color w:val="3E3E3E"/>
          <w:kern w:val="0"/>
          <w:sz w:val="24"/>
          <w:szCs w:val="24"/>
        </w:rPr>
        <w:t>3）中外合作开采的原油、天然气。</w:t>
      </w:r>
    </w:p>
    <w:p w:rsidR="00F1197F" w:rsidRPr="00F1197F" w:rsidRDefault="00F1197F" w:rsidP="00F1197F">
      <w:pPr>
        <w:widowControl/>
        <w:shd w:val="clear" w:color="auto" w:fill="FFFFFF"/>
        <w:spacing w:line="420" w:lineRule="atLeast"/>
        <w:jc w:val="left"/>
        <w:rPr>
          <w:rFonts w:ascii="宋体" w:eastAsia="宋体" w:hAnsi="宋体" w:cs="宋体"/>
          <w:color w:val="3E3E3E"/>
          <w:kern w:val="0"/>
          <w:sz w:val="24"/>
          <w:szCs w:val="24"/>
        </w:rPr>
      </w:pPr>
      <w:r w:rsidRPr="00F1197F">
        <w:rPr>
          <w:rFonts w:ascii="宋体" w:eastAsia="宋体" w:hAnsi="宋体" w:cs="宋体"/>
          <w:b/>
          <w:bCs/>
          <w:color w:val="0052FF"/>
          <w:kern w:val="0"/>
          <w:sz w:val="24"/>
          <w:szCs w:val="24"/>
        </w:rPr>
        <w:t>附：</w:t>
      </w:r>
    </w:p>
    <w:p w:rsidR="00F1197F" w:rsidRPr="00F1197F" w:rsidRDefault="00F1197F" w:rsidP="00F1197F">
      <w:pPr>
        <w:widowControl/>
        <w:jc w:val="left"/>
        <w:rPr>
          <w:rFonts w:ascii="宋体" w:eastAsia="宋体" w:hAnsi="宋体" w:cs="宋体"/>
          <w:color w:val="3E3E3E"/>
          <w:kern w:val="0"/>
          <w:sz w:val="24"/>
          <w:szCs w:val="24"/>
        </w:rPr>
      </w:pPr>
      <w:r w:rsidRPr="00F1197F">
        <w:rPr>
          <w:rFonts w:ascii="宋体" w:eastAsia="宋体" w:hAnsi="宋体" w:cs="宋体"/>
          <w:b/>
          <w:bCs/>
          <w:color w:val="FFFFFF"/>
          <w:kern w:val="0"/>
          <w:sz w:val="24"/>
          <w:szCs w:val="24"/>
        </w:rPr>
        <w:t>营改增新政文件</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《关于全面推开营业税改征增值税试点的通知（一个办法</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三个规定）》</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财税〔</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36</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《关于进一步明确全面推开营改增试点金融业有关政策的通知》</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财税〔</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46</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《关于进一步明确全面推开营改增试点有关劳务派遣服务、收费公路通行费抵扣等政策的通知》</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财税〔</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47</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《全面推开营业税改征增值税试点后增值税纳税申报有关事项（申报表）》</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13</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《纳税人转让不动产增值税征收管理暂行办法》</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14</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《不动产进项税额分期抵扣暂行办法》</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15</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《纳税人提供不动产经营租赁服务增值税征收管理暂行办法》</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16</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《纳税人跨县（事、区）提供建筑服务增值税征收管理暂行办法》</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17</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《房地产开发企业销售自行开发的房地产项目增值税增收管理暂行办法》</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18</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《关于营业税改征增值税委托地税机关代征税款和代开增值税发票的公告》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19</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《关于全面推开营业税改征增值税试点有关税收征收管理事项的公告》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23</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《关于发布增值税发票税控开票软件数据接口规范的公告》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25</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lastRenderedPageBreak/>
        <w:t>《关于明确营改增试点若干征管问题的公告》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26</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《关于调整增值税纳税申报有关事项的公告》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27</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30</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《关于发布《促进残疾人就业增值税优惠政策管理办法》的公告》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33</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《关于部分地区开展住宿业增值税小规模纳税人自开增值税专用发票试点工作有关事项的公告》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44</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《关于红字增值税发票开具有关问题的公告》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47</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《关于被盗、丢失增值税专用发票有关问题的公告》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50</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《关于保险机构代收车船税开具增值税发票问题的公告》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51</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《关于营改增试点若干征管问题的公告》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53</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《关于优化完善增值税发票选择确认平台功能及系统维护有关事项的公告》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57</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《关于纳税人申请代开增值税发票办理流程的公告》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59</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《关于营改增后土地增值税若干征管问题的公告》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70</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《关于按照纳税信用等级对增值税发票使用实行分类管理有关事项的公告》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71</w:t>
      </w:r>
      <w:r w:rsidRPr="00F1197F">
        <w:rPr>
          <w:rFonts w:ascii="Helvetica" w:eastAsia="宋体" w:hAnsi="Helvetica" w:cs="Helvetica"/>
          <w:color w:val="3E3E3E"/>
          <w:kern w:val="0"/>
          <w:sz w:val="24"/>
          <w:szCs w:val="24"/>
        </w:rPr>
        <w:t>号。</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《关于走逃（失联）企业开具增值税专用发票认定处理有关问题的公告》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76</w:t>
      </w:r>
      <w:r w:rsidRPr="00F1197F">
        <w:rPr>
          <w:rFonts w:ascii="Helvetica" w:eastAsia="宋体" w:hAnsi="Helvetica" w:cs="Helvetica"/>
          <w:color w:val="3E3E3E"/>
          <w:kern w:val="0"/>
          <w:sz w:val="24"/>
          <w:szCs w:val="24"/>
        </w:rPr>
        <w:t>号</w:t>
      </w:r>
      <w:r w:rsidRPr="00F1197F">
        <w:rPr>
          <w:rFonts w:ascii="Helvetica" w:eastAsia="宋体" w:hAnsi="Helvetica" w:cs="Helvetica"/>
          <w:color w:val="3E3E3E"/>
          <w:kern w:val="0"/>
          <w:sz w:val="24"/>
          <w:szCs w:val="24"/>
        </w:rPr>
        <w:t xml:space="preserve"> </w:t>
      </w:r>
      <w:r w:rsidRPr="00F1197F">
        <w:rPr>
          <w:rFonts w:ascii="Helvetica" w:eastAsia="宋体" w:hAnsi="Helvetica" w:cs="Helvetica"/>
          <w:color w:val="3E3E3E"/>
          <w:kern w:val="0"/>
          <w:sz w:val="24"/>
          <w:szCs w:val="24"/>
        </w:rPr>
        <w:t>。</w:t>
      </w:r>
    </w:p>
    <w:p w:rsidR="00F1197F" w:rsidRPr="00F1197F" w:rsidRDefault="00F1197F" w:rsidP="00F1197F">
      <w:pPr>
        <w:widowControl/>
        <w:numPr>
          <w:ilvl w:val="0"/>
          <w:numId w:val="1"/>
        </w:numPr>
        <w:spacing w:line="360" w:lineRule="atLeast"/>
        <w:ind w:left="0"/>
        <w:jc w:val="left"/>
        <w:rPr>
          <w:rFonts w:ascii="Helvetica" w:eastAsia="宋体" w:hAnsi="Helvetica" w:cs="Helvetica"/>
          <w:color w:val="3E3E3E"/>
          <w:kern w:val="0"/>
          <w:sz w:val="24"/>
          <w:szCs w:val="24"/>
        </w:rPr>
      </w:pPr>
      <w:r w:rsidRPr="00F1197F">
        <w:rPr>
          <w:rFonts w:ascii="Helvetica" w:eastAsia="宋体" w:hAnsi="Helvetica" w:cs="Helvetica"/>
          <w:color w:val="3E3E3E"/>
          <w:kern w:val="0"/>
          <w:sz w:val="24"/>
          <w:szCs w:val="24"/>
        </w:rPr>
        <w:t>《关于房地产开发企业土地增值税清算涉及企业所得税退税有关问题的公告》</w:t>
      </w:r>
      <w:r w:rsidRPr="00F1197F">
        <w:rPr>
          <w:rFonts w:ascii="Helvetica" w:eastAsia="宋体" w:hAnsi="Helvetica" w:cs="Helvetica"/>
          <w:color w:val="3E3E3E"/>
          <w:kern w:val="0"/>
          <w:sz w:val="24"/>
          <w:szCs w:val="24"/>
        </w:rPr>
        <w:t>——</w:t>
      </w:r>
      <w:r w:rsidRPr="00F1197F">
        <w:rPr>
          <w:rFonts w:ascii="Helvetica" w:eastAsia="宋体" w:hAnsi="Helvetica" w:cs="Helvetica"/>
          <w:color w:val="3E3E3E"/>
          <w:kern w:val="0"/>
          <w:sz w:val="24"/>
          <w:szCs w:val="24"/>
        </w:rPr>
        <w:t>国家税务总局公告</w:t>
      </w:r>
      <w:r w:rsidRPr="00F1197F">
        <w:rPr>
          <w:rFonts w:ascii="Helvetica" w:eastAsia="宋体" w:hAnsi="Helvetica" w:cs="Helvetica"/>
          <w:color w:val="3E3E3E"/>
          <w:kern w:val="0"/>
          <w:sz w:val="24"/>
          <w:szCs w:val="24"/>
        </w:rPr>
        <w:t>2016</w:t>
      </w:r>
      <w:r w:rsidRPr="00F1197F">
        <w:rPr>
          <w:rFonts w:ascii="Helvetica" w:eastAsia="宋体" w:hAnsi="Helvetica" w:cs="Helvetica"/>
          <w:color w:val="3E3E3E"/>
          <w:kern w:val="0"/>
          <w:sz w:val="24"/>
          <w:szCs w:val="24"/>
        </w:rPr>
        <w:t>年第</w:t>
      </w:r>
      <w:r w:rsidRPr="00F1197F">
        <w:rPr>
          <w:rFonts w:ascii="Helvetica" w:eastAsia="宋体" w:hAnsi="Helvetica" w:cs="Helvetica"/>
          <w:color w:val="3E3E3E"/>
          <w:kern w:val="0"/>
          <w:sz w:val="24"/>
          <w:szCs w:val="24"/>
        </w:rPr>
        <w:t>81</w:t>
      </w:r>
      <w:r w:rsidRPr="00F1197F">
        <w:rPr>
          <w:rFonts w:ascii="Helvetica" w:eastAsia="宋体" w:hAnsi="Helvetica" w:cs="Helvetica"/>
          <w:color w:val="3E3E3E"/>
          <w:kern w:val="0"/>
          <w:sz w:val="24"/>
          <w:szCs w:val="24"/>
        </w:rPr>
        <w:t>号。</w:t>
      </w:r>
    </w:p>
    <w:p w:rsidR="00E253E5" w:rsidRPr="00F1197F" w:rsidRDefault="00E253E5"/>
    <w:sectPr w:rsidR="00E253E5" w:rsidRPr="00F1197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253E5" w:rsidRDefault="00E253E5" w:rsidP="00F1197F">
      <w:r>
        <w:separator/>
      </w:r>
    </w:p>
  </w:endnote>
  <w:endnote w:type="continuationSeparator" w:id="1">
    <w:p w:rsidR="00E253E5" w:rsidRDefault="00E253E5" w:rsidP="00F119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253E5" w:rsidRDefault="00E253E5" w:rsidP="00F1197F">
      <w:r>
        <w:separator/>
      </w:r>
    </w:p>
  </w:footnote>
  <w:footnote w:type="continuationSeparator" w:id="1">
    <w:p w:rsidR="00E253E5" w:rsidRDefault="00E253E5" w:rsidP="00F1197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4631C"/>
    <w:multiLevelType w:val="multilevel"/>
    <w:tmpl w:val="A8B0FD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F1197F"/>
    <w:rsid w:val="00E253E5"/>
    <w:rsid w:val="00F1197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basedOn w:val="a"/>
    <w:link w:val="2Char"/>
    <w:uiPriority w:val="9"/>
    <w:qFormat/>
    <w:rsid w:val="00F1197F"/>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F1197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F1197F"/>
    <w:rPr>
      <w:sz w:val="18"/>
      <w:szCs w:val="18"/>
    </w:rPr>
  </w:style>
  <w:style w:type="paragraph" w:styleId="a4">
    <w:name w:val="footer"/>
    <w:basedOn w:val="a"/>
    <w:link w:val="Char0"/>
    <w:uiPriority w:val="99"/>
    <w:semiHidden/>
    <w:unhideWhenUsed/>
    <w:rsid w:val="00F1197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F1197F"/>
    <w:rPr>
      <w:sz w:val="18"/>
      <w:szCs w:val="18"/>
    </w:rPr>
  </w:style>
  <w:style w:type="character" w:customStyle="1" w:styleId="2Char">
    <w:name w:val="标题 2 Char"/>
    <w:basedOn w:val="a0"/>
    <w:link w:val="2"/>
    <w:uiPriority w:val="9"/>
    <w:rsid w:val="00F1197F"/>
    <w:rPr>
      <w:rFonts w:ascii="宋体" w:eastAsia="宋体" w:hAnsi="宋体" w:cs="宋体"/>
      <w:b/>
      <w:bCs/>
      <w:kern w:val="0"/>
      <w:sz w:val="36"/>
      <w:szCs w:val="36"/>
    </w:rPr>
  </w:style>
  <w:style w:type="character" w:styleId="a5">
    <w:name w:val="Emphasis"/>
    <w:basedOn w:val="a0"/>
    <w:uiPriority w:val="20"/>
    <w:qFormat/>
    <w:rsid w:val="00F1197F"/>
    <w:rPr>
      <w:i/>
      <w:iCs/>
    </w:rPr>
  </w:style>
  <w:style w:type="character" w:customStyle="1" w:styleId="apple-converted-space">
    <w:name w:val="apple-converted-space"/>
    <w:basedOn w:val="a0"/>
    <w:rsid w:val="00F1197F"/>
  </w:style>
  <w:style w:type="character" w:styleId="a6">
    <w:name w:val="Hyperlink"/>
    <w:basedOn w:val="a0"/>
    <w:uiPriority w:val="99"/>
    <w:semiHidden/>
    <w:unhideWhenUsed/>
    <w:rsid w:val="00F1197F"/>
    <w:rPr>
      <w:color w:val="0000FF"/>
      <w:u w:val="single"/>
    </w:rPr>
  </w:style>
  <w:style w:type="paragraph" w:styleId="a7">
    <w:name w:val="Normal (Web)"/>
    <w:basedOn w:val="a"/>
    <w:uiPriority w:val="99"/>
    <w:semiHidden/>
    <w:unhideWhenUsed/>
    <w:rsid w:val="00F1197F"/>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F1197F"/>
    <w:rPr>
      <w:b/>
      <w:bCs/>
    </w:rPr>
  </w:style>
  <w:style w:type="paragraph" w:styleId="a9">
    <w:name w:val="Balloon Text"/>
    <w:basedOn w:val="a"/>
    <w:link w:val="Char1"/>
    <w:uiPriority w:val="99"/>
    <w:semiHidden/>
    <w:unhideWhenUsed/>
    <w:rsid w:val="00F1197F"/>
    <w:rPr>
      <w:sz w:val="18"/>
      <w:szCs w:val="18"/>
    </w:rPr>
  </w:style>
  <w:style w:type="character" w:customStyle="1" w:styleId="Char1">
    <w:name w:val="批注框文本 Char"/>
    <w:basedOn w:val="a0"/>
    <w:link w:val="a9"/>
    <w:uiPriority w:val="99"/>
    <w:semiHidden/>
    <w:rsid w:val="00F1197F"/>
    <w:rPr>
      <w:sz w:val="18"/>
      <w:szCs w:val="18"/>
    </w:rPr>
  </w:style>
</w:styles>
</file>

<file path=word/webSettings.xml><?xml version="1.0" encoding="utf-8"?>
<w:webSettings xmlns:r="http://schemas.openxmlformats.org/officeDocument/2006/relationships" xmlns:w="http://schemas.openxmlformats.org/wordprocessingml/2006/main">
  <w:divs>
    <w:div w:id="780803266">
      <w:bodyDiv w:val="1"/>
      <w:marLeft w:val="0"/>
      <w:marRight w:val="0"/>
      <w:marTop w:val="0"/>
      <w:marBottom w:val="0"/>
      <w:divBdr>
        <w:top w:val="none" w:sz="0" w:space="0" w:color="auto"/>
        <w:left w:val="none" w:sz="0" w:space="0" w:color="auto"/>
        <w:bottom w:val="none" w:sz="0" w:space="0" w:color="auto"/>
        <w:right w:val="none" w:sz="0" w:space="0" w:color="auto"/>
      </w:divBdr>
      <w:divsChild>
        <w:div w:id="154302857">
          <w:marLeft w:val="0"/>
          <w:marRight w:val="0"/>
          <w:marTop w:val="0"/>
          <w:marBottom w:val="270"/>
          <w:divBdr>
            <w:top w:val="none" w:sz="0" w:space="0" w:color="auto"/>
            <w:left w:val="none" w:sz="0" w:space="0" w:color="auto"/>
            <w:bottom w:val="none" w:sz="0" w:space="0" w:color="auto"/>
            <w:right w:val="none" w:sz="0" w:space="0" w:color="auto"/>
          </w:divBdr>
        </w:div>
        <w:div w:id="301545640">
          <w:marLeft w:val="0"/>
          <w:marRight w:val="0"/>
          <w:marTop w:val="0"/>
          <w:marBottom w:val="0"/>
          <w:divBdr>
            <w:top w:val="none" w:sz="0" w:space="0" w:color="auto"/>
            <w:left w:val="none" w:sz="0" w:space="0" w:color="auto"/>
            <w:bottom w:val="none" w:sz="0" w:space="0" w:color="auto"/>
            <w:right w:val="none" w:sz="0" w:space="0" w:color="auto"/>
          </w:divBdr>
          <w:divsChild>
            <w:div w:id="947740577">
              <w:blockQuote w:val="1"/>
              <w:marLeft w:val="0"/>
              <w:marRight w:val="0"/>
              <w:marTop w:val="75"/>
              <w:marBottom w:val="75"/>
              <w:divBdr>
                <w:top w:val="none" w:sz="0" w:space="0" w:color="auto"/>
                <w:left w:val="none" w:sz="0" w:space="0" w:color="auto"/>
                <w:bottom w:val="none" w:sz="0" w:space="0" w:color="auto"/>
                <w:right w:val="none" w:sz="0" w:space="0" w:color="auto"/>
              </w:divBdr>
            </w:div>
            <w:div w:id="1227381082">
              <w:blockQuote w:val="1"/>
              <w:marLeft w:val="0"/>
              <w:marRight w:val="0"/>
              <w:marTop w:val="75"/>
              <w:marBottom w:val="75"/>
              <w:divBdr>
                <w:top w:val="none" w:sz="0" w:space="0" w:color="auto"/>
                <w:left w:val="none" w:sz="0" w:space="0" w:color="auto"/>
                <w:bottom w:val="none" w:sz="0" w:space="0" w:color="auto"/>
                <w:right w:val="none" w:sz="0" w:space="0" w:color="auto"/>
              </w:divBdr>
            </w:div>
            <w:div w:id="1720475409">
              <w:blockQuote w:val="1"/>
              <w:marLeft w:val="0"/>
              <w:marRight w:val="0"/>
              <w:marTop w:val="75"/>
              <w:marBottom w:val="75"/>
              <w:divBdr>
                <w:top w:val="none" w:sz="0" w:space="0" w:color="auto"/>
                <w:left w:val="none" w:sz="0" w:space="0" w:color="auto"/>
                <w:bottom w:val="none" w:sz="0" w:space="0" w:color="auto"/>
                <w:right w:val="none" w:sz="0" w:space="0" w:color="auto"/>
              </w:divBdr>
            </w:div>
            <w:div w:id="696127184">
              <w:blockQuote w:val="1"/>
              <w:marLeft w:val="0"/>
              <w:marRight w:val="0"/>
              <w:marTop w:val="75"/>
              <w:marBottom w:val="75"/>
              <w:divBdr>
                <w:top w:val="none" w:sz="0" w:space="0" w:color="auto"/>
                <w:left w:val="none" w:sz="0" w:space="0" w:color="auto"/>
                <w:bottom w:val="none" w:sz="0" w:space="0" w:color="auto"/>
                <w:right w:val="none" w:sz="0" w:space="0" w:color="auto"/>
              </w:divBdr>
            </w:div>
            <w:div w:id="1361249229">
              <w:blockQuote w:val="1"/>
              <w:marLeft w:val="0"/>
              <w:marRight w:val="0"/>
              <w:marTop w:val="75"/>
              <w:marBottom w:val="75"/>
              <w:divBdr>
                <w:top w:val="none" w:sz="0" w:space="0" w:color="auto"/>
                <w:left w:val="none" w:sz="0" w:space="0" w:color="auto"/>
                <w:bottom w:val="none" w:sz="0" w:space="0" w:color="auto"/>
                <w:right w:val="none" w:sz="0" w:space="0" w:color="auto"/>
              </w:divBdr>
            </w:div>
            <w:div w:id="1282684788">
              <w:blockQuote w:val="1"/>
              <w:marLeft w:val="0"/>
              <w:marRight w:val="0"/>
              <w:marTop w:val="75"/>
              <w:marBottom w:val="75"/>
              <w:divBdr>
                <w:top w:val="none" w:sz="0" w:space="0" w:color="auto"/>
                <w:left w:val="none" w:sz="0" w:space="0" w:color="auto"/>
                <w:bottom w:val="none" w:sz="0" w:space="0" w:color="auto"/>
                <w:right w:val="none" w:sz="0" w:space="0" w:color="auto"/>
              </w:divBdr>
            </w:div>
            <w:div w:id="2073233437">
              <w:blockQuote w:val="1"/>
              <w:marLeft w:val="0"/>
              <w:marRight w:val="0"/>
              <w:marTop w:val="75"/>
              <w:marBottom w:val="75"/>
              <w:divBdr>
                <w:top w:val="none" w:sz="0" w:space="0" w:color="auto"/>
                <w:left w:val="none" w:sz="0" w:space="0" w:color="auto"/>
                <w:bottom w:val="none" w:sz="0" w:space="0" w:color="auto"/>
                <w:right w:val="none" w:sz="0" w:space="0" w:color="auto"/>
              </w:divBdr>
            </w:div>
            <w:div w:id="1096826619">
              <w:blockQuote w:val="1"/>
              <w:marLeft w:val="0"/>
              <w:marRight w:val="0"/>
              <w:marTop w:val="75"/>
              <w:marBottom w:val="75"/>
              <w:divBdr>
                <w:top w:val="none" w:sz="0" w:space="0" w:color="auto"/>
                <w:left w:val="none" w:sz="0" w:space="0" w:color="auto"/>
                <w:bottom w:val="none" w:sz="0" w:space="0" w:color="auto"/>
                <w:right w:val="none" w:sz="0" w:space="0" w:color="auto"/>
              </w:divBdr>
            </w:div>
            <w:div w:id="992177367">
              <w:blockQuote w:val="1"/>
              <w:marLeft w:val="0"/>
              <w:marRight w:val="0"/>
              <w:marTop w:val="75"/>
              <w:marBottom w:val="75"/>
              <w:divBdr>
                <w:top w:val="none" w:sz="0" w:space="0" w:color="auto"/>
                <w:left w:val="none" w:sz="0" w:space="0" w:color="auto"/>
                <w:bottom w:val="none" w:sz="0" w:space="0" w:color="auto"/>
                <w:right w:val="none" w:sz="0" w:space="0" w:color="auto"/>
              </w:divBdr>
            </w:div>
            <w:div w:id="224730398">
              <w:blockQuote w:val="1"/>
              <w:marLeft w:val="0"/>
              <w:marRight w:val="0"/>
              <w:marTop w:val="75"/>
              <w:marBottom w:val="75"/>
              <w:divBdr>
                <w:top w:val="none" w:sz="0" w:space="0" w:color="auto"/>
                <w:left w:val="none" w:sz="0" w:space="0" w:color="auto"/>
                <w:bottom w:val="none" w:sz="0" w:space="0" w:color="auto"/>
                <w:right w:val="none" w:sz="0" w:space="0" w:color="auto"/>
              </w:divBdr>
            </w:div>
            <w:div w:id="142695602">
              <w:blockQuote w:val="1"/>
              <w:marLeft w:val="0"/>
              <w:marRight w:val="0"/>
              <w:marTop w:val="75"/>
              <w:marBottom w:val="75"/>
              <w:divBdr>
                <w:top w:val="none" w:sz="0" w:space="0" w:color="auto"/>
                <w:left w:val="none" w:sz="0" w:space="0" w:color="auto"/>
                <w:bottom w:val="none" w:sz="0" w:space="0" w:color="auto"/>
                <w:right w:val="none" w:sz="0" w:space="0" w:color="auto"/>
              </w:divBdr>
            </w:div>
            <w:div w:id="1196431204">
              <w:blockQuote w:val="1"/>
              <w:marLeft w:val="0"/>
              <w:marRight w:val="0"/>
              <w:marTop w:val="75"/>
              <w:marBottom w:val="75"/>
              <w:divBdr>
                <w:top w:val="none" w:sz="0" w:space="0" w:color="auto"/>
                <w:left w:val="none" w:sz="0" w:space="0" w:color="auto"/>
                <w:bottom w:val="none" w:sz="0" w:space="0" w:color="auto"/>
                <w:right w:val="none" w:sz="0" w:space="0" w:color="auto"/>
              </w:divBdr>
            </w:div>
            <w:div w:id="1801411160">
              <w:blockQuote w:val="1"/>
              <w:marLeft w:val="0"/>
              <w:marRight w:val="0"/>
              <w:marTop w:val="75"/>
              <w:marBottom w:val="75"/>
              <w:divBdr>
                <w:top w:val="none" w:sz="0" w:space="0" w:color="auto"/>
                <w:left w:val="none" w:sz="0" w:space="0" w:color="auto"/>
                <w:bottom w:val="none" w:sz="0" w:space="0" w:color="auto"/>
                <w:right w:val="none" w:sz="0" w:space="0" w:color="auto"/>
              </w:divBdr>
            </w:div>
            <w:div w:id="2138403364">
              <w:blockQuote w:val="1"/>
              <w:marLeft w:val="0"/>
              <w:marRight w:val="0"/>
              <w:marTop w:val="75"/>
              <w:marBottom w:val="75"/>
              <w:divBdr>
                <w:top w:val="none" w:sz="0" w:space="0" w:color="auto"/>
                <w:left w:val="none" w:sz="0" w:space="0" w:color="auto"/>
                <w:bottom w:val="none" w:sz="0" w:space="0" w:color="auto"/>
                <w:right w:val="none" w:sz="0" w:space="0" w:color="auto"/>
              </w:divBdr>
            </w:div>
            <w:div w:id="199898888">
              <w:blockQuote w:val="1"/>
              <w:marLeft w:val="0"/>
              <w:marRight w:val="0"/>
              <w:marTop w:val="75"/>
              <w:marBottom w:val="75"/>
              <w:divBdr>
                <w:top w:val="none" w:sz="0" w:space="0" w:color="auto"/>
                <w:left w:val="none" w:sz="0" w:space="0" w:color="auto"/>
                <w:bottom w:val="none" w:sz="0" w:space="0" w:color="auto"/>
                <w:right w:val="none" w:sz="0" w:space="0" w:color="auto"/>
              </w:divBdr>
            </w:div>
            <w:div w:id="1186019126">
              <w:blockQuote w:val="1"/>
              <w:marLeft w:val="0"/>
              <w:marRight w:val="0"/>
              <w:marTop w:val="75"/>
              <w:marBottom w:val="75"/>
              <w:divBdr>
                <w:top w:val="none" w:sz="0" w:space="0" w:color="auto"/>
                <w:left w:val="none" w:sz="0" w:space="0" w:color="auto"/>
                <w:bottom w:val="none" w:sz="0" w:space="0" w:color="auto"/>
                <w:right w:val="none" w:sz="0" w:space="0" w:color="auto"/>
              </w:divBdr>
            </w:div>
            <w:div w:id="780223338">
              <w:blockQuote w:val="1"/>
              <w:marLeft w:val="0"/>
              <w:marRight w:val="0"/>
              <w:marTop w:val="75"/>
              <w:marBottom w:val="75"/>
              <w:divBdr>
                <w:top w:val="none" w:sz="0" w:space="0" w:color="auto"/>
                <w:left w:val="none" w:sz="0" w:space="0" w:color="auto"/>
                <w:bottom w:val="none" w:sz="0" w:space="0" w:color="auto"/>
                <w:right w:val="none" w:sz="0" w:space="0" w:color="auto"/>
              </w:divBdr>
            </w:div>
            <w:div w:id="1288393363">
              <w:blockQuote w:val="1"/>
              <w:marLeft w:val="0"/>
              <w:marRight w:val="0"/>
              <w:marTop w:val="75"/>
              <w:marBottom w:val="75"/>
              <w:divBdr>
                <w:top w:val="none" w:sz="0" w:space="0" w:color="auto"/>
                <w:left w:val="none" w:sz="0" w:space="0" w:color="auto"/>
                <w:bottom w:val="none" w:sz="0" w:space="0" w:color="auto"/>
                <w:right w:val="none" w:sz="0" w:space="0" w:color="auto"/>
              </w:divBdr>
            </w:div>
            <w:div w:id="2055688590">
              <w:blockQuote w:val="1"/>
              <w:marLeft w:val="0"/>
              <w:marRight w:val="0"/>
              <w:marTop w:val="75"/>
              <w:marBottom w:val="75"/>
              <w:divBdr>
                <w:top w:val="none" w:sz="0" w:space="0" w:color="auto"/>
                <w:left w:val="none" w:sz="0" w:space="0" w:color="auto"/>
                <w:bottom w:val="none" w:sz="0" w:space="0" w:color="auto"/>
                <w:right w:val="none" w:sz="0" w:space="0" w:color="auto"/>
              </w:divBdr>
            </w:div>
            <w:div w:id="1568606702">
              <w:blockQuote w:val="1"/>
              <w:marLeft w:val="0"/>
              <w:marRight w:val="0"/>
              <w:marTop w:val="75"/>
              <w:marBottom w:val="75"/>
              <w:divBdr>
                <w:top w:val="none" w:sz="0" w:space="0" w:color="auto"/>
                <w:left w:val="none" w:sz="0" w:space="0" w:color="auto"/>
                <w:bottom w:val="none" w:sz="0" w:space="0" w:color="auto"/>
                <w:right w:val="none" w:sz="0" w:space="0" w:color="auto"/>
              </w:divBdr>
            </w:div>
            <w:div w:id="1965576955">
              <w:blockQuote w:val="1"/>
              <w:marLeft w:val="0"/>
              <w:marRight w:val="0"/>
              <w:marTop w:val="75"/>
              <w:marBottom w:val="75"/>
              <w:divBdr>
                <w:top w:val="none" w:sz="0" w:space="0" w:color="auto"/>
                <w:left w:val="none" w:sz="0" w:space="0" w:color="auto"/>
                <w:bottom w:val="none" w:sz="0" w:space="0" w:color="auto"/>
                <w:right w:val="none" w:sz="0" w:space="0" w:color="auto"/>
              </w:divBdr>
            </w:div>
            <w:div w:id="2083136955">
              <w:blockQuote w:val="1"/>
              <w:marLeft w:val="0"/>
              <w:marRight w:val="0"/>
              <w:marTop w:val="75"/>
              <w:marBottom w:val="75"/>
              <w:divBdr>
                <w:top w:val="none" w:sz="0" w:space="0" w:color="auto"/>
                <w:left w:val="none" w:sz="0" w:space="0" w:color="auto"/>
                <w:bottom w:val="none" w:sz="0" w:space="0" w:color="auto"/>
                <w:right w:val="none" w:sz="0" w:space="0" w:color="auto"/>
              </w:divBdr>
            </w:div>
            <w:div w:id="299192302">
              <w:blockQuote w:val="1"/>
              <w:marLeft w:val="0"/>
              <w:marRight w:val="0"/>
              <w:marTop w:val="75"/>
              <w:marBottom w:val="75"/>
              <w:divBdr>
                <w:top w:val="none" w:sz="0" w:space="0" w:color="auto"/>
                <w:left w:val="none" w:sz="0" w:space="0" w:color="auto"/>
                <w:bottom w:val="none" w:sz="0" w:space="0" w:color="auto"/>
                <w:right w:val="none" w:sz="0" w:space="0" w:color="auto"/>
              </w:divBdr>
            </w:div>
            <w:div w:id="1793011207">
              <w:blockQuote w:val="1"/>
              <w:marLeft w:val="0"/>
              <w:marRight w:val="0"/>
              <w:marTop w:val="75"/>
              <w:marBottom w:val="75"/>
              <w:divBdr>
                <w:top w:val="none" w:sz="0" w:space="0" w:color="auto"/>
                <w:left w:val="none" w:sz="0" w:space="0" w:color="auto"/>
                <w:bottom w:val="none" w:sz="0" w:space="0" w:color="auto"/>
                <w:right w:val="none" w:sz="0" w:space="0" w:color="auto"/>
              </w:divBdr>
            </w:div>
            <w:div w:id="1461073188">
              <w:blockQuote w:val="1"/>
              <w:marLeft w:val="0"/>
              <w:marRight w:val="0"/>
              <w:marTop w:val="75"/>
              <w:marBottom w:val="75"/>
              <w:divBdr>
                <w:top w:val="none" w:sz="0" w:space="0" w:color="auto"/>
                <w:left w:val="none" w:sz="0" w:space="0" w:color="auto"/>
                <w:bottom w:val="none" w:sz="0" w:space="0" w:color="auto"/>
                <w:right w:val="none" w:sz="0" w:space="0" w:color="auto"/>
              </w:divBdr>
            </w:div>
            <w:div w:id="1299921375">
              <w:blockQuote w:val="1"/>
              <w:marLeft w:val="0"/>
              <w:marRight w:val="0"/>
              <w:marTop w:val="75"/>
              <w:marBottom w:val="75"/>
              <w:divBdr>
                <w:top w:val="none" w:sz="0" w:space="0" w:color="auto"/>
                <w:left w:val="none" w:sz="0" w:space="0" w:color="auto"/>
                <w:bottom w:val="none" w:sz="0" w:space="0" w:color="auto"/>
                <w:right w:val="none" w:sz="0" w:space="0" w:color="auto"/>
              </w:divBdr>
            </w:div>
            <w:div w:id="852567978">
              <w:blockQuote w:val="1"/>
              <w:marLeft w:val="0"/>
              <w:marRight w:val="0"/>
              <w:marTop w:val="75"/>
              <w:marBottom w:val="75"/>
              <w:divBdr>
                <w:top w:val="none" w:sz="0" w:space="0" w:color="auto"/>
                <w:left w:val="none" w:sz="0" w:space="0" w:color="auto"/>
                <w:bottom w:val="none" w:sz="0" w:space="0" w:color="auto"/>
                <w:right w:val="none" w:sz="0" w:space="0" w:color="auto"/>
              </w:divBdr>
            </w:div>
            <w:div w:id="708992513">
              <w:blockQuote w:val="1"/>
              <w:marLeft w:val="0"/>
              <w:marRight w:val="0"/>
              <w:marTop w:val="75"/>
              <w:marBottom w:val="75"/>
              <w:divBdr>
                <w:top w:val="none" w:sz="0" w:space="0" w:color="auto"/>
                <w:left w:val="none" w:sz="0" w:space="0" w:color="auto"/>
                <w:bottom w:val="none" w:sz="0" w:space="0" w:color="auto"/>
                <w:right w:val="none" w:sz="0" w:space="0" w:color="auto"/>
              </w:divBdr>
            </w:div>
            <w:div w:id="1976452106">
              <w:blockQuote w:val="1"/>
              <w:marLeft w:val="0"/>
              <w:marRight w:val="0"/>
              <w:marTop w:val="75"/>
              <w:marBottom w:val="75"/>
              <w:divBdr>
                <w:top w:val="none" w:sz="0" w:space="0" w:color="auto"/>
                <w:left w:val="none" w:sz="0" w:space="0" w:color="auto"/>
                <w:bottom w:val="none" w:sz="0" w:space="0" w:color="auto"/>
                <w:right w:val="none" w:sz="0" w:space="0" w:color="auto"/>
              </w:divBdr>
            </w:div>
            <w:div w:id="1484085332">
              <w:blockQuote w:val="1"/>
              <w:marLeft w:val="0"/>
              <w:marRight w:val="0"/>
              <w:marTop w:val="75"/>
              <w:marBottom w:val="75"/>
              <w:divBdr>
                <w:top w:val="none" w:sz="0" w:space="0" w:color="auto"/>
                <w:left w:val="none" w:sz="0" w:space="0" w:color="auto"/>
                <w:bottom w:val="none" w:sz="0" w:space="0" w:color="auto"/>
                <w:right w:val="none" w:sz="0" w:space="0" w:color="auto"/>
              </w:divBdr>
            </w:div>
            <w:div w:id="979388265">
              <w:blockQuote w:val="1"/>
              <w:marLeft w:val="0"/>
              <w:marRight w:val="0"/>
              <w:marTop w:val="75"/>
              <w:marBottom w:val="75"/>
              <w:divBdr>
                <w:top w:val="none" w:sz="0" w:space="0" w:color="auto"/>
                <w:left w:val="none" w:sz="0" w:space="0" w:color="auto"/>
                <w:bottom w:val="none" w:sz="0" w:space="0" w:color="auto"/>
                <w:right w:val="none" w:sz="0" w:space="0" w:color="auto"/>
              </w:divBdr>
            </w:div>
            <w:div w:id="514929115">
              <w:blockQuote w:val="1"/>
              <w:marLeft w:val="0"/>
              <w:marRight w:val="0"/>
              <w:marTop w:val="75"/>
              <w:marBottom w:val="75"/>
              <w:divBdr>
                <w:top w:val="none" w:sz="0" w:space="0" w:color="auto"/>
                <w:left w:val="none" w:sz="0" w:space="0" w:color="auto"/>
                <w:bottom w:val="none" w:sz="0" w:space="0" w:color="auto"/>
                <w:right w:val="none" w:sz="0" w:space="0" w:color="auto"/>
              </w:divBdr>
            </w:div>
            <w:div w:id="592208685">
              <w:blockQuote w:val="1"/>
              <w:marLeft w:val="0"/>
              <w:marRight w:val="0"/>
              <w:marTop w:val="75"/>
              <w:marBottom w:val="75"/>
              <w:divBdr>
                <w:top w:val="none" w:sz="0" w:space="0" w:color="auto"/>
                <w:left w:val="none" w:sz="0" w:space="0" w:color="auto"/>
                <w:bottom w:val="none" w:sz="0" w:space="0" w:color="auto"/>
                <w:right w:val="none" w:sz="0" w:space="0" w:color="auto"/>
              </w:divBdr>
            </w:div>
            <w:div w:id="1799488434">
              <w:blockQuote w:val="1"/>
              <w:marLeft w:val="0"/>
              <w:marRight w:val="0"/>
              <w:marTop w:val="75"/>
              <w:marBottom w:val="75"/>
              <w:divBdr>
                <w:top w:val="none" w:sz="0" w:space="0" w:color="auto"/>
                <w:left w:val="none" w:sz="0" w:space="0" w:color="auto"/>
                <w:bottom w:val="none" w:sz="0" w:space="0" w:color="auto"/>
                <w:right w:val="none" w:sz="0" w:space="0" w:color="auto"/>
              </w:divBdr>
            </w:div>
            <w:div w:id="1572502923">
              <w:blockQuote w:val="1"/>
              <w:marLeft w:val="0"/>
              <w:marRight w:val="0"/>
              <w:marTop w:val="75"/>
              <w:marBottom w:val="75"/>
              <w:divBdr>
                <w:top w:val="none" w:sz="0" w:space="0" w:color="auto"/>
                <w:left w:val="none" w:sz="0" w:space="0" w:color="auto"/>
                <w:bottom w:val="none" w:sz="0" w:space="0" w:color="auto"/>
                <w:right w:val="none" w:sz="0" w:space="0" w:color="auto"/>
              </w:divBdr>
            </w:div>
            <w:div w:id="1603760938">
              <w:blockQuote w:val="1"/>
              <w:marLeft w:val="0"/>
              <w:marRight w:val="0"/>
              <w:marTop w:val="75"/>
              <w:marBottom w:val="75"/>
              <w:divBdr>
                <w:top w:val="none" w:sz="0" w:space="0" w:color="auto"/>
                <w:left w:val="none" w:sz="0" w:space="0" w:color="auto"/>
                <w:bottom w:val="none" w:sz="0" w:space="0" w:color="auto"/>
                <w:right w:val="none" w:sz="0" w:space="0" w:color="auto"/>
              </w:divBdr>
            </w:div>
            <w:div w:id="1109202510">
              <w:blockQuote w:val="1"/>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793</Words>
  <Characters>4526</Characters>
  <Application>Microsoft Office Word</Application>
  <DocSecurity>0</DocSecurity>
  <Lines>37</Lines>
  <Paragraphs>10</Paragraphs>
  <ScaleCrop>false</ScaleCrop>
  <Company>Microsoft</Company>
  <LinksUpToDate>false</LinksUpToDate>
  <CharactersWithSpaces>5309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yf</dc:creator>
  <cp:keywords/>
  <dc:description/>
  <cp:lastModifiedBy>yf</cp:lastModifiedBy>
  <cp:revision>2</cp:revision>
  <dcterms:created xsi:type="dcterms:W3CDTF">2017-02-06T06:10:00Z</dcterms:created>
  <dcterms:modified xsi:type="dcterms:W3CDTF">2017-02-06T06:11:00Z</dcterms:modified>
</cp:coreProperties>
</file>